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jeloteksta2"/>
        <w:rPr>
          <w:iCs/>
          <w:sz w:val="22"/>
          <w:szCs w:val="22"/>
        </w:rPr>
      </w:pPr>
      <w:r>
        <w:rPr>
          <w:iCs/>
          <w:sz w:val="22"/>
          <w:szCs w:val="22"/>
        </w:rPr>
        <w:t>PRILOG I.</w:t>
      </w:r>
    </w:p>
    <w:p>
      <w:pPr>
        <w:pStyle w:val="Tijeloteksta2"/>
        <w:rPr>
          <w:i/>
          <w:iCs/>
          <w:sz w:val="16"/>
          <w:szCs w:val="22"/>
        </w:rPr>
      </w:pPr>
      <w:r>
        <w:rPr>
          <w:i/>
          <w:iCs/>
          <w:sz w:val="16"/>
          <w:szCs w:val="22"/>
        </w:rPr>
      </w:r>
    </w:p>
    <w:p>
      <w:pPr>
        <w:pStyle w:val="Tijeloteksta2"/>
        <w:ind w:start="-360" w:end="0"/>
        <w:rPr/>
      </w:pPr>
      <w:r>
        <w:rPr>
          <w:i/>
          <w:iCs/>
          <w:sz w:val="24"/>
        </w:rPr>
        <w:t xml:space="preserve">    </w:t>
      </w:r>
      <w:r>
        <w:rPr>
          <w:i/>
          <w:iCs/>
          <w:sz w:val="24"/>
        </w:rPr>
        <w:t>Split, srpanj 2026. godine</w:t>
        <w:tab/>
      </w:r>
    </w:p>
    <w:p>
      <w:pPr>
        <w:pStyle w:val="Tijeloteksta2"/>
        <w:tabs>
          <w:tab w:val="clear" w:pos="708"/>
          <w:tab w:val="left" w:pos="3285" w:leader="none"/>
        </w:tabs>
        <w:ind w:start="-180" w:end="0"/>
        <w:rPr>
          <w:i/>
          <w:iCs/>
          <w:sz w:val="16"/>
          <w:szCs w:val="16"/>
        </w:rPr>
      </w:pPr>
      <w:r>
        <w:rPr>
          <w:i/>
          <w:iCs/>
          <w:sz w:val="16"/>
          <w:szCs w:val="16"/>
        </w:rPr>
      </w:r>
    </w:p>
    <w:p>
      <w:pPr>
        <w:pStyle w:val="Tijeloteksta2"/>
        <w:rPr>
          <w:i/>
          <w:iCs/>
          <w:sz w:val="20"/>
          <w:szCs w:val="16"/>
        </w:rPr>
      </w:pPr>
      <w:r>
        <w:rPr>
          <w:i/>
          <w:iCs/>
          <w:sz w:val="20"/>
          <w:szCs w:val="16"/>
        </w:rPr>
      </w:r>
    </w:p>
    <w:p>
      <w:pPr>
        <w:pStyle w:val="Tijeloteksta2"/>
        <w:rPr>
          <w:i/>
          <w:iCs/>
          <w:sz w:val="20"/>
        </w:rPr>
      </w:pPr>
      <w:r>
        <w:rPr>
          <w:i/>
          <w:iCs/>
          <w:sz w:val="20"/>
        </w:rPr>
      </w:r>
    </w:p>
    <w:p>
      <w:pPr>
        <w:pStyle w:val="Tijeloteksta2"/>
        <w:rPr>
          <w:i/>
          <w:iCs/>
          <w:sz w:val="20"/>
        </w:rPr>
      </w:pPr>
      <w:r>
        <w:rPr>
          <w:i/>
          <w:iCs/>
          <w:sz w:val="20"/>
        </w:rPr>
      </w:r>
    </w:p>
    <w:p>
      <w:pPr>
        <w:pStyle w:val="Tijeloteksta2"/>
        <w:rPr>
          <w:i/>
          <w:iCs/>
          <w:sz w:val="20"/>
        </w:rPr>
      </w:pPr>
      <w:r>
        <w:rPr>
          <w:i/>
          <w:iCs/>
          <w:sz w:val="20"/>
        </w:rPr>
      </w:r>
    </w:p>
    <w:p>
      <w:pPr>
        <w:pStyle w:val="Tijeloteksta2"/>
        <w:rPr>
          <w:i/>
          <w:iCs/>
          <w:sz w:val="20"/>
        </w:rPr>
      </w:pPr>
      <w:r>
        <w:rPr>
          <w:i/>
          <w:iCs/>
          <w:sz w:val="20"/>
        </w:rPr>
      </w:r>
    </w:p>
    <w:p>
      <w:pPr>
        <w:pStyle w:val="Tijeloteksta2"/>
        <w:rPr>
          <w:i/>
          <w:iCs/>
          <w:sz w:val="20"/>
        </w:rPr>
      </w:pPr>
      <w:r>
        <w:rPr>
          <w:i/>
          <w:iCs/>
          <w:sz w:val="20"/>
        </w:rPr>
      </w:r>
    </w:p>
    <w:p>
      <w:pPr>
        <w:pStyle w:val="Tijeloteksta2"/>
        <w:rPr>
          <w:i/>
          <w:iCs/>
          <w:sz w:val="20"/>
        </w:rPr>
      </w:pPr>
      <w:r>
        <w:rPr>
          <w:i/>
          <w:iCs/>
          <w:sz w:val="20"/>
        </w:rPr>
      </w:r>
    </w:p>
    <w:p>
      <w:pPr>
        <w:pStyle w:val="Tijeloteksta2"/>
        <w:rPr>
          <w:i/>
          <w:iCs/>
          <w:sz w:val="20"/>
        </w:rPr>
      </w:pPr>
      <w:r>
        <w:rPr>
          <w:i/>
          <w:iCs/>
          <w:sz w:val="20"/>
        </w:rPr>
      </w:r>
    </w:p>
    <w:p>
      <w:pPr>
        <w:pStyle w:val="Tijeloteksta2"/>
        <w:rPr>
          <w:i/>
          <w:iCs/>
          <w:sz w:val="20"/>
        </w:rPr>
      </w:pPr>
      <w:r>
        <w:rPr>
          <w:i/>
          <w:iCs/>
          <w:sz w:val="20"/>
        </w:rPr>
      </w:r>
    </w:p>
    <w:p>
      <w:pPr>
        <w:pStyle w:val="Tijeloteksta2"/>
        <w:tabs>
          <w:tab w:val="clear" w:pos="708"/>
          <w:tab w:val="left" w:pos="2955" w:leader="none"/>
        </w:tabs>
        <w:jc w:val="center"/>
        <w:rPr>
          <w:i/>
          <w:iCs/>
          <w:sz w:val="40"/>
          <w:szCs w:val="40"/>
        </w:rPr>
      </w:pPr>
      <w:r>
        <w:rPr>
          <w:i/>
          <w:iCs/>
          <w:sz w:val="40"/>
          <w:szCs w:val="40"/>
        </w:rPr>
        <w:t>OBRAZLOŽENJE CIJENE OBVEZNE MINIMALNE JAVNE USLUGE-OMJU</w:t>
      </w:r>
    </w:p>
    <w:p>
      <w:pPr>
        <w:pStyle w:val="Tijeloteksta2"/>
        <w:tabs>
          <w:tab w:val="clear" w:pos="708"/>
          <w:tab w:val="left" w:pos="2955" w:leader="none"/>
        </w:tabs>
        <w:rPr>
          <w:i/>
          <w:iCs/>
          <w:sz w:val="40"/>
          <w:szCs w:val="40"/>
        </w:rPr>
      </w:pPr>
      <w:r>
        <w:rPr>
          <w:i/>
          <w:iCs/>
          <w:sz w:val="40"/>
          <w:szCs w:val="40"/>
        </w:rPr>
      </w:r>
    </w:p>
    <w:p>
      <w:pPr>
        <w:pStyle w:val="Tijeloteksta2"/>
        <w:tabs>
          <w:tab w:val="clear" w:pos="708"/>
          <w:tab w:val="left" w:pos="2955" w:leader="none"/>
        </w:tabs>
        <w:jc w:val="center"/>
        <w:rPr>
          <w:i/>
          <w:iCs/>
          <w:sz w:val="24"/>
          <w:szCs w:val="40"/>
        </w:rPr>
      </w:pPr>
      <w:r>
        <w:rPr>
          <w:i/>
          <w:iCs/>
          <w:sz w:val="24"/>
          <w:szCs w:val="40"/>
        </w:rPr>
      </w:r>
    </w:p>
    <w:p>
      <w:pPr>
        <w:pStyle w:val="Tijeloteksta2"/>
        <w:tabs>
          <w:tab w:val="clear" w:pos="708"/>
          <w:tab w:val="left" w:pos="2955" w:leader="none"/>
          <w:tab w:val="left" w:pos="8640" w:leader="none"/>
        </w:tabs>
        <w:rPr>
          <w:i/>
          <w:iCs/>
          <w:sz w:val="22"/>
          <w:szCs w:val="22"/>
        </w:rPr>
      </w:pPr>
      <w:r>
        <w:rPr>
          <w:i/>
          <w:iCs/>
          <w:sz w:val="22"/>
          <w:szCs w:val="22"/>
        </w:rPr>
        <w:t>ČLANAK 64., STAVAK 4. I STAVAK 2. ZAKONA O GOSPODARENJU OTPADOM (NN 84/21, 142/23)</w:t>
      </w:r>
    </w:p>
    <w:p>
      <w:pPr>
        <w:pStyle w:val="Tijeloteksta2"/>
        <w:tabs>
          <w:tab w:val="clear" w:pos="708"/>
          <w:tab w:val="left" w:pos="252" w:leader="none"/>
          <w:tab w:val="left" w:pos="2955" w:leader="none"/>
        </w:tabs>
        <w:rPr>
          <w:i/>
          <w:iCs/>
          <w:sz w:val="22"/>
          <w:szCs w:val="22"/>
        </w:rPr>
      </w:pPr>
      <w:r>
        <w:rPr>
          <w:i/>
          <w:iCs/>
          <w:sz w:val="22"/>
          <w:szCs w:val="22"/>
        </w:rPr>
        <w:t xml:space="preserve">„ </w:t>
      </w:r>
      <w:r>
        <w:rPr>
          <w:i/>
          <w:iCs/>
          <w:sz w:val="22"/>
          <w:szCs w:val="22"/>
        </w:rPr>
        <w:t>Izvršno tijelo jedinice lokalne samouprave … dužno je na svom području osigurati obavljanje javne usluge sakupljanja komunalnog otpada na kvalitetan, postojan i ekonomski učinkovit način, izbjegavajući neopravdano visoke troškove, u skladu s načelima održivog razvoja, zaštite okoliša, osiguravajući pri tom javnost rada kako bi se osiguralo odvojeno sakupljanje miješanog komunalnog otpada iz kućanstava i drugih izvora, biootpada iz kućanstava, reciklabilnog komunalnog otpada, opasnog komunalnog otpada i glomaznog otpada iz kućanstava.</w:t>
        <w:tab/>
        <w:t>„</w:t>
      </w:r>
    </w:p>
    <w:p>
      <w:pPr>
        <w:pStyle w:val="Tijeloteksta2"/>
        <w:tabs>
          <w:tab w:val="clear" w:pos="708"/>
          <w:tab w:val="left" w:pos="2955" w:leader="none"/>
        </w:tabs>
        <w:rPr>
          <w:i/>
          <w:iCs/>
          <w:sz w:val="22"/>
          <w:szCs w:val="22"/>
        </w:rPr>
      </w:pPr>
      <w:r>
        <w:rPr>
          <w:i/>
          <w:iCs/>
          <w:sz w:val="22"/>
          <w:szCs w:val="22"/>
        </w:rPr>
      </w:r>
    </w:p>
    <w:p>
      <w:pPr>
        <w:pStyle w:val="Tijeloteksta2"/>
        <w:tabs>
          <w:tab w:val="clear" w:pos="708"/>
          <w:tab w:val="left" w:pos="240" w:leader="none"/>
          <w:tab w:val="left" w:pos="2955" w:leader="none"/>
          <w:tab w:val="left" w:pos="8640" w:leader="none"/>
        </w:tabs>
        <w:rPr>
          <w:i/>
          <w:iCs/>
          <w:sz w:val="22"/>
          <w:szCs w:val="22"/>
        </w:rPr>
      </w:pPr>
      <w:r>
        <w:rPr>
          <w:i/>
          <w:iCs/>
          <w:sz w:val="22"/>
          <w:szCs w:val="22"/>
        </w:rPr>
      </w:r>
    </w:p>
    <w:p>
      <w:pPr>
        <w:pStyle w:val="Tijeloteksta2"/>
        <w:tabs>
          <w:tab w:val="clear" w:pos="708"/>
          <w:tab w:val="left" w:pos="2955" w:leader="none"/>
          <w:tab w:val="left" w:pos="8640" w:leader="none"/>
        </w:tabs>
        <w:rPr/>
      </w:pPr>
      <w:r>
        <w:rPr>
          <w:i/>
          <w:iCs/>
          <w:sz w:val="22"/>
          <w:szCs w:val="22"/>
        </w:rPr>
        <w:t>ČLANAK 75., STAVAK 1. I STAVAK 2. ZAKONA O GOSPODARENJU OTPADOM (NN 84/21, 142/23)</w:t>
      </w:r>
    </w:p>
    <w:p>
      <w:pPr>
        <w:pStyle w:val="Tijeloteksta2"/>
        <w:tabs>
          <w:tab w:val="clear" w:pos="708"/>
          <w:tab w:val="left" w:pos="2955" w:leader="none"/>
          <w:tab w:val="left" w:pos="8640" w:leader="none"/>
        </w:tabs>
        <w:rPr/>
      </w:pPr>
      <w:r>
        <w:rPr>
          <w:i/>
          <w:iCs/>
          <w:sz w:val="22"/>
          <w:szCs w:val="22"/>
        </w:rPr>
        <w:t>" Cijena javne usluge plaća se radi pokrića troškova pružanja javne usluge.</w:t>
      </w:r>
    </w:p>
    <w:p>
      <w:pPr>
        <w:pStyle w:val="Tijeloteksta2"/>
        <w:tabs>
          <w:tab w:val="clear" w:pos="708"/>
          <w:tab w:val="left" w:pos="2955" w:leader="none"/>
          <w:tab w:val="left" w:pos="8640" w:leader="none"/>
        </w:tabs>
        <w:rPr>
          <w:i/>
          <w:iCs/>
          <w:sz w:val="22"/>
          <w:szCs w:val="22"/>
        </w:rPr>
      </w:pPr>
      <w:r>
        <w:rPr>
          <w:i/>
          <w:iCs/>
          <w:sz w:val="22"/>
          <w:szCs w:val="22"/>
        </w:rPr>
        <w:t xml:space="preserve">   </w:t>
      </w:r>
      <w:r>
        <w:rPr>
          <w:i/>
          <w:iCs/>
          <w:sz w:val="22"/>
          <w:szCs w:val="22"/>
        </w:rPr>
        <w:t>Strukturu cijene javne usluge čini:</w:t>
      </w:r>
    </w:p>
    <w:p>
      <w:pPr>
        <w:pStyle w:val="Tijeloteksta2"/>
        <w:tabs>
          <w:tab w:val="clear" w:pos="708"/>
          <w:tab w:val="left" w:pos="2955" w:leader="none"/>
          <w:tab w:val="left" w:pos="8640" w:leader="none"/>
        </w:tabs>
        <w:rPr>
          <w:i/>
          <w:iCs/>
          <w:sz w:val="22"/>
          <w:szCs w:val="22"/>
        </w:rPr>
      </w:pPr>
      <w:r>
        <w:rPr>
          <w:i/>
          <w:iCs/>
          <w:sz w:val="22"/>
          <w:szCs w:val="22"/>
        </w:rPr>
        <w:t xml:space="preserve">   </w:t>
      </w:r>
      <w:r>
        <w:rPr>
          <w:i/>
          <w:iCs/>
          <w:sz w:val="22"/>
          <w:szCs w:val="22"/>
        </w:rPr>
        <w:t xml:space="preserve">* cijena za količinu predanog miješanog komunalnog otpada </w:t>
      </w:r>
    </w:p>
    <w:p>
      <w:pPr>
        <w:pStyle w:val="Tijeloteksta2"/>
        <w:tabs>
          <w:tab w:val="clear" w:pos="708"/>
          <w:tab w:val="left" w:pos="2955" w:leader="none"/>
          <w:tab w:val="left" w:pos="8640" w:leader="none"/>
        </w:tabs>
        <w:rPr/>
      </w:pPr>
      <w:r>
        <w:rPr>
          <w:i/>
          <w:iCs/>
          <w:sz w:val="22"/>
          <w:szCs w:val="22"/>
        </w:rPr>
        <w:t xml:space="preserve">     </w:t>
      </w:r>
      <w:r>
        <w:rPr>
          <w:i/>
          <w:iCs/>
          <w:sz w:val="22"/>
          <w:szCs w:val="22"/>
        </w:rPr>
        <w:t xml:space="preserve">i cijena obvezne minimalne javne usluge." </w:t>
      </w:r>
    </w:p>
    <w:p>
      <w:pPr>
        <w:pStyle w:val="Tijeloteksta2"/>
        <w:tabs>
          <w:tab w:val="clear" w:pos="708"/>
          <w:tab w:val="left" w:pos="2955" w:leader="none"/>
          <w:tab w:val="left" w:pos="8640" w:leader="none"/>
        </w:tabs>
        <w:rPr>
          <w:i/>
          <w:iCs/>
          <w:sz w:val="22"/>
          <w:szCs w:val="22"/>
        </w:rPr>
      </w:pPr>
      <w:r>
        <w:rPr>
          <w:i/>
          <w:iCs/>
          <w:sz w:val="22"/>
          <w:szCs w:val="22"/>
        </w:rPr>
      </w:r>
    </w:p>
    <w:p>
      <w:pPr>
        <w:pStyle w:val="Tijeloteksta2"/>
        <w:tabs>
          <w:tab w:val="clear" w:pos="708"/>
          <w:tab w:val="left" w:pos="2955" w:leader="none"/>
          <w:tab w:val="left" w:pos="8640" w:leader="none"/>
        </w:tabs>
        <w:rPr>
          <w:i/>
          <w:iCs/>
          <w:sz w:val="22"/>
          <w:szCs w:val="22"/>
        </w:rPr>
      </w:pPr>
      <w:r>
        <w:rPr>
          <w:i/>
          <w:iCs/>
          <w:sz w:val="22"/>
          <w:szCs w:val="22"/>
        </w:rPr>
      </w:r>
    </w:p>
    <w:p>
      <w:pPr>
        <w:pStyle w:val="Tijeloteksta2"/>
        <w:tabs>
          <w:tab w:val="clear" w:pos="708"/>
          <w:tab w:val="left" w:pos="2955" w:leader="none"/>
          <w:tab w:val="left" w:pos="8640" w:leader="none"/>
        </w:tabs>
        <w:rPr>
          <w:i/>
          <w:iCs/>
          <w:sz w:val="22"/>
          <w:szCs w:val="22"/>
        </w:rPr>
      </w:pPr>
      <w:r>
        <w:rPr>
          <w:i/>
          <w:iCs/>
          <w:sz w:val="22"/>
          <w:szCs w:val="22"/>
        </w:rPr>
        <w:t>ČLANAK 77., STAVAK 1. I STAVAK 2. ZAKONA O GOSPODARENJU OTPADOM (NN 84/21, 142/23)</w:t>
      </w:r>
    </w:p>
    <w:p>
      <w:pPr>
        <w:pStyle w:val="Tijeloteksta2"/>
        <w:tabs>
          <w:tab w:val="clear" w:pos="708"/>
          <w:tab w:val="left" w:pos="2955" w:leader="none"/>
          <w:tab w:val="left" w:pos="8640" w:leader="none"/>
        </w:tabs>
        <w:rPr>
          <w:i/>
          <w:iCs/>
          <w:sz w:val="22"/>
          <w:szCs w:val="22"/>
        </w:rPr>
      </w:pPr>
      <w:r>
        <w:rPr>
          <w:i/>
          <w:iCs/>
          <w:sz w:val="22"/>
          <w:szCs w:val="22"/>
        </w:rPr>
        <w:t>" Cjenik javne usluge je opći akt koji, na temelju Odluke iz članka 66. Zakona, donosi davatelj usluge.</w:t>
      </w:r>
    </w:p>
    <w:p>
      <w:pPr>
        <w:pStyle w:val="Tijeloteksta2"/>
        <w:tabs>
          <w:tab w:val="clear" w:pos="708"/>
          <w:tab w:val="left" w:pos="2955" w:leader="none"/>
          <w:tab w:val="left" w:pos="8640" w:leader="none"/>
        </w:tabs>
        <w:rPr>
          <w:i/>
          <w:iCs/>
          <w:sz w:val="22"/>
          <w:szCs w:val="22"/>
        </w:rPr>
      </w:pPr>
      <w:r>
        <w:rPr>
          <w:i/>
          <w:iCs/>
          <w:sz w:val="22"/>
          <w:szCs w:val="22"/>
        </w:rPr>
        <w:t>Cjenikom, ovisno o kriteriju količine predanog otpada, određuje se, zasebno za korisnika razvrstanog u kategoriju kućanstvo i za korisnika razvrstanog u kategoriju korisnika koji nije kućanstvo jedinična cijena za preuzimanje jednoga kilograma</w:t>
      </w:r>
      <w:r>
        <w:rPr>
          <w:i/>
          <w:iCs/>
          <w:sz w:val="24"/>
        </w:rPr>
        <w:t xml:space="preserve"> </w:t>
      </w:r>
      <w:r>
        <w:rPr>
          <w:i/>
          <w:iCs/>
          <w:sz w:val="22"/>
          <w:szCs w:val="22"/>
        </w:rPr>
        <w:t>miješanoga komunalnoga otpada ili volumena spremnika miješanoga komunalnoga otpada.“</w:t>
      </w:r>
    </w:p>
    <w:p>
      <w:pPr>
        <w:pStyle w:val="Tijeloteksta2"/>
        <w:tabs>
          <w:tab w:val="clear" w:pos="708"/>
          <w:tab w:val="left" w:pos="2955" w:leader="none"/>
          <w:tab w:val="left" w:pos="8640" w:leader="none"/>
        </w:tabs>
        <w:rPr>
          <w:i/>
          <w:iCs/>
          <w:sz w:val="28"/>
          <w:szCs w:val="22"/>
        </w:rPr>
      </w:pPr>
      <w:r>
        <w:rPr>
          <w:i/>
          <w:iCs/>
          <w:sz w:val="28"/>
          <w:szCs w:val="22"/>
        </w:rPr>
      </w:r>
    </w:p>
    <w:p>
      <w:pPr>
        <w:pStyle w:val="Tijeloteksta2"/>
        <w:tabs>
          <w:tab w:val="clear" w:pos="708"/>
          <w:tab w:val="left" w:pos="2955" w:leader="none"/>
          <w:tab w:val="left" w:pos="8640" w:leader="none"/>
        </w:tabs>
        <w:rPr>
          <w:i/>
          <w:iCs/>
          <w:sz w:val="36"/>
          <w:szCs w:val="36"/>
        </w:rPr>
      </w:pPr>
      <w:r>
        <w:rPr>
          <w:i/>
          <w:iCs/>
          <w:sz w:val="36"/>
          <w:szCs w:val="36"/>
        </w:rPr>
      </w:r>
    </w:p>
    <w:p>
      <w:pPr>
        <w:pStyle w:val="Tijeloteksta2"/>
        <w:tabs>
          <w:tab w:val="clear" w:pos="708"/>
          <w:tab w:val="left" w:pos="2955" w:leader="none"/>
          <w:tab w:val="left" w:pos="8640" w:leader="none"/>
        </w:tabs>
        <w:rPr>
          <w:i/>
          <w:iCs/>
          <w:sz w:val="36"/>
          <w:szCs w:val="36"/>
        </w:rPr>
      </w:pPr>
      <w:r>
        <w:rPr>
          <w:i/>
          <w:iCs/>
          <w:sz w:val="36"/>
          <w:szCs w:val="36"/>
        </w:rPr>
      </w:r>
    </w:p>
    <w:p>
      <w:pPr>
        <w:pStyle w:val="Tijeloteksta2"/>
        <w:tabs>
          <w:tab w:val="clear" w:pos="708"/>
          <w:tab w:val="left" w:pos="2955" w:leader="none"/>
          <w:tab w:val="left" w:pos="8640" w:leader="none"/>
        </w:tabs>
        <w:rPr>
          <w:i/>
          <w:iCs/>
          <w:sz w:val="36"/>
          <w:szCs w:val="36"/>
        </w:rPr>
      </w:pPr>
      <w:r>
        <w:rPr>
          <w:i/>
          <w:iCs/>
          <w:sz w:val="36"/>
          <w:szCs w:val="36"/>
        </w:rPr>
      </w:r>
    </w:p>
    <w:p>
      <w:pPr>
        <w:pStyle w:val="Tijeloteksta2"/>
        <w:tabs>
          <w:tab w:val="clear" w:pos="708"/>
          <w:tab w:val="left" w:pos="2955" w:leader="none"/>
          <w:tab w:val="left" w:pos="8640" w:leader="none"/>
        </w:tabs>
        <w:rPr>
          <w:i/>
          <w:iCs/>
          <w:sz w:val="36"/>
          <w:szCs w:val="36"/>
        </w:rPr>
      </w:pPr>
      <w:r>
        <w:rPr>
          <w:i/>
          <w:iCs/>
          <w:sz w:val="36"/>
          <w:szCs w:val="36"/>
        </w:rPr>
      </w:r>
    </w:p>
    <w:p>
      <w:pPr>
        <w:pStyle w:val="Tijeloteksta2"/>
        <w:tabs>
          <w:tab w:val="clear" w:pos="708"/>
          <w:tab w:val="left" w:pos="2955" w:leader="none"/>
          <w:tab w:val="left" w:pos="8640" w:leader="none"/>
        </w:tabs>
        <w:rPr>
          <w:i/>
          <w:iCs/>
          <w:sz w:val="36"/>
          <w:szCs w:val="36"/>
        </w:rPr>
      </w:pPr>
      <w:r>
        <w:rPr>
          <w:i/>
          <w:iCs/>
          <w:sz w:val="36"/>
          <w:szCs w:val="36"/>
        </w:rPr>
      </w:r>
    </w:p>
    <w:p>
      <w:pPr>
        <w:pStyle w:val="Tijeloteksta2"/>
        <w:tabs>
          <w:tab w:val="clear" w:pos="708"/>
          <w:tab w:val="left" w:pos="2955" w:leader="none"/>
          <w:tab w:val="left" w:pos="8640" w:leader="none"/>
        </w:tabs>
        <w:rPr>
          <w:i/>
          <w:iCs/>
          <w:sz w:val="36"/>
          <w:szCs w:val="36"/>
        </w:rPr>
      </w:pPr>
      <w:r>
        <w:rPr>
          <w:i/>
          <w:iCs/>
          <w:sz w:val="36"/>
          <w:szCs w:val="36"/>
        </w:rPr>
      </w:r>
    </w:p>
    <w:p>
      <w:pPr>
        <w:pStyle w:val="Tijeloteksta2"/>
        <w:tabs>
          <w:tab w:val="clear" w:pos="708"/>
          <w:tab w:val="left" w:pos="2955" w:leader="none"/>
          <w:tab w:val="left" w:pos="8640" w:leader="none"/>
        </w:tabs>
        <w:rPr>
          <w:i/>
          <w:iCs/>
          <w:sz w:val="36"/>
          <w:szCs w:val="36"/>
        </w:rPr>
      </w:pPr>
      <w:r>
        <w:rPr>
          <w:i/>
          <w:iCs/>
          <w:sz w:val="36"/>
          <w:szCs w:val="36"/>
        </w:rPr>
        <w:t>Sadržaj:</w:t>
      </w:r>
    </w:p>
    <w:p>
      <w:pPr>
        <w:pStyle w:val="Tijeloteksta2"/>
        <w:tabs>
          <w:tab w:val="clear" w:pos="708"/>
          <w:tab w:val="left" w:pos="2955" w:leader="none"/>
          <w:tab w:val="left" w:pos="8640" w:leader="none"/>
        </w:tabs>
        <w:rPr>
          <w:i/>
          <w:iCs/>
          <w:sz w:val="28"/>
          <w:szCs w:val="36"/>
        </w:rPr>
      </w:pPr>
      <w:r>
        <w:rPr>
          <w:i/>
          <w:iCs/>
          <w:sz w:val="28"/>
          <w:szCs w:val="36"/>
        </w:rPr>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8"/>
        </w:rPr>
      </w:pPr>
      <w:r>
        <w:rPr>
          <w:i/>
          <w:iCs/>
          <w:sz w:val="28"/>
        </w:rPr>
        <w:t>1  Uvod.........................................................................................................2-4</w:t>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8"/>
        </w:rPr>
      </w:pPr>
      <w:r>
        <w:rPr>
          <w:i/>
          <w:iCs/>
          <w:sz w:val="28"/>
        </w:rPr>
        <w:t>2  Prijedlog cjenika........................................................................................5</w:t>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t>2.1 Korisnici kategorija kućanstvo.............................................................................6</w:t>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t>2.2 Korisnici koji nisu kućanstvo ..............................................................................6</w:t>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r>
    </w:p>
    <w:p>
      <w:pPr>
        <w:pStyle w:val="Tijeloteksta2"/>
        <w:tabs>
          <w:tab w:val="clear" w:pos="708"/>
          <w:tab w:val="left" w:pos="2955" w:leader="none"/>
          <w:tab w:val="left" w:pos="8640" w:leader="none"/>
        </w:tabs>
        <w:rPr>
          <w:i/>
          <w:iCs/>
          <w:sz w:val="28"/>
        </w:rPr>
      </w:pPr>
      <w:r>
        <w:rPr>
          <w:i/>
          <w:iCs/>
          <w:sz w:val="28"/>
        </w:rPr>
        <w:t>3.   Obrazloženje cijene obvezne minimalne javne usluge .......................7</w:t>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t>3.1</w:t>
      </w:r>
      <w:r>
        <w:rPr>
          <w:b w:val="false"/>
          <w:bCs w:val="false"/>
          <w:i/>
          <w:iCs/>
          <w:sz w:val="28"/>
        </w:rPr>
        <w:t xml:space="preserve"> </w:t>
      </w:r>
      <w:r>
        <w:rPr>
          <w:b w:val="false"/>
          <w:bCs w:val="false"/>
          <w:i/>
          <w:iCs/>
          <w:sz w:val="26"/>
          <w:szCs w:val="26"/>
        </w:rPr>
        <w:t>Pravni okvir.........................................................................................................7</w:t>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t xml:space="preserve">3.2 Kriterij obračuna količine miješanog komunalnog otpada i </w:t>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t xml:space="preserve">      </w:t>
      </w:r>
      <w:r>
        <w:rPr>
          <w:b w:val="false"/>
          <w:bCs w:val="false"/>
          <w:i/>
          <w:iCs/>
          <w:sz w:val="26"/>
          <w:szCs w:val="26"/>
        </w:rPr>
        <w:t>obračunska razdoblja .........................................................................................7</w:t>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t>3.3 Struktura cijene javne usluge .............................................................................7</w:t>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t>3.4 Cijena obvezne minimalne javne usluge ...........................................................8</w:t>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t xml:space="preserve">3.5 Obrazloženje načina na koji je određena cijena obavezne </w:t>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t xml:space="preserve">      </w:t>
      </w:r>
      <w:r>
        <w:rPr>
          <w:b w:val="false"/>
          <w:bCs w:val="false"/>
          <w:i/>
          <w:iCs/>
          <w:sz w:val="26"/>
          <w:szCs w:val="26"/>
        </w:rPr>
        <w:t xml:space="preserve">minimalne javne usluge za korisnike iz kategorije </w:t>
      </w:r>
    </w:p>
    <w:p>
      <w:pPr>
        <w:pStyle w:val="Tijeloteksta2"/>
        <w:tabs>
          <w:tab w:val="clear" w:pos="708"/>
          <w:tab w:val="left" w:pos="2955" w:leader="none"/>
          <w:tab w:val="left" w:pos="8640" w:leader="none"/>
        </w:tabs>
        <w:rPr>
          <w:b w:val="false"/>
          <w:bCs w:val="false"/>
          <w:i/>
          <w:iCs/>
          <w:sz w:val="28"/>
        </w:rPr>
      </w:pPr>
      <w:r>
        <w:rPr>
          <w:b w:val="false"/>
          <w:bCs w:val="false"/>
          <w:i/>
          <w:iCs/>
          <w:sz w:val="26"/>
          <w:szCs w:val="26"/>
        </w:rPr>
        <w:t xml:space="preserve">      </w:t>
      </w:r>
      <w:r>
        <w:rPr>
          <w:b w:val="false"/>
          <w:bCs w:val="false"/>
          <w:i/>
          <w:iCs/>
          <w:sz w:val="26"/>
          <w:szCs w:val="26"/>
        </w:rPr>
        <w:t>kućanstva i nekućanstva..............................................................................</w:t>
      </w:r>
      <w:r>
        <w:rPr>
          <w:b w:val="false"/>
          <w:bCs w:val="false"/>
          <w:i/>
          <w:iCs/>
          <w:sz w:val="28"/>
        </w:rPr>
        <w:t>..8-13</w:t>
      </w:r>
    </w:p>
    <w:p>
      <w:pPr>
        <w:pStyle w:val="Tijeloteksta2"/>
        <w:tabs>
          <w:tab w:val="clear" w:pos="708"/>
          <w:tab w:val="left" w:pos="2955" w:leader="none"/>
          <w:tab w:val="left" w:pos="8640" w:leader="none"/>
        </w:tabs>
        <w:rPr>
          <w:b w:val="false"/>
          <w:bCs w:val="false"/>
          <w:i/>
          <w:iCs/>
          <w:sz w:val="28"/>
        </w:rPr>
      </w:pPr>
      <w:r>
        <w:rPr>
          <w:b w:val="false"/>
          <w:bCs w:val="false"/>
          <w:i/>
          <w:iCs/>
          <w:sz w:val="28"/>
        </w:rPr>
      </w:r>
    </w:p>
    <w:p>
      <w:pPr>
        <w:pStyle w:val="Tijeloteksta2"/>
        <w:tabs>
          <w:tab w:val="clear" w:pos="708"/>
          <w:tab w:val="left" w:pos="2955" w:leader="none"/>
          <w:tab w:val="left" w:pos="8640" w:leader="none"/>
        </w:tabs>
        <w:rPr>
          <w:b w:val="false"/>
          <w:bCs w:val="false"/>
          <w:i/>
          <w:iCs/>
          <w:sz w:val="26"/>
          <w:szCs w:val="26"/>
        </w:rPr>
      </w:pPr>
      <w:r>
        <w:rPr>
          <w:b w:val="false"/>
          <w:bCs w:val="false"/>
          <w:i/>
          <w:iCs/>
          <w:sz w:val="26"/>
          <w:szCs w:val="26"/>
        </w:rPr>
      </w:r>
    </w:p>
    <w:p>
      <w:pPr>
        <w:pStyle w:val="Tijeloteksta2"/>
        <w:tabs>
          <w:tab w:val="clear" w:pos="708"/>
          <w:tab w:val="left" w:pos="2955" w:leader="none"/>
          <w:tab w:val="left" w:pos="8640" w:leader="none"/>
        </w:tabs>
        <w:rPr>
          <w:i/>
          <w:iCs/>
          <w:sz w:val="28"/>
        </w:rPr>
      </w:pPr>
      <w:r>
        <w:rPr>
          <w:i/>
          <w:iCs/>
          <w:sz w:val="28"/>
        </w:rPr>
        <w:t>4   Cijena za količinu predanog miješanog komunalnog</w:t>
      </w:r>
    </w:p>
    <w:p>
      <w:pPr>
        <w:pStyle w:val="Tijeloteksta2"/>
        <w:tabs>
          <w:tab w:val="clear" w:pos="708"/>
          <w:tab w:val="left" w:pos="2955" w:leader="none"/>
          <w:tab w:val="left" w:pos="8640" w:leader="none"/>
        </w:tabs>
        <w:rPr>
          <w:i/>
          <w:iCs/>
          <w:sz w:val="28"/>
        </w:rPr>
      </w:pPr>
      <w:r>
        <w:rPr>
          <w:i/>
          <w:iCs/>
          <w:sz w:val="28"/>
        </w:rPr>
        <w:t xml:space="preserve">     </w:t>
      </w:r>
      <w:r>
        <w:rPr>
          <w:i/>
          <w:iCs/>
          <w:sz w:val="28"/>
        </w:rPr>
        <w:t>otpada................................................................................................14-16</w:t>
      </w:r>
    </w:p>
    <w:p>
      <w:pPr>
        <w:pStyle w:val="Tijeloteksta2"/>
        <w:tabs>
          <w:tab w:val="clear" w:pos="708"/>
          <w:tab w:val="left" w:pos="2955" w:leader="none"/>
          <w:tab w:val="left" w:pos="8640" w:leader="none"/>
        </w:tabs>
        <w:rPr>
          <w:i/>
          <w:iCs/>
          <w:sz w:val="28"/>
        </w:rPr>
      </w:pPr>
      <w:r>
        <w:rPr>
          <w:i/>
          <w:iCs/>
          <w:sz w:val="28"/>
        </w:rPr>
        <w:t xml:space="preserve">  </w:t>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8"/>
        </w:rPr>
      </w:pPr>
      <w:r>
        <w:rPr>
          <w:i/>
          <w:iCs/>
          <w:sz w:val="28"/>
        </w:rPr>
        <w:t>5   IZJAVA……............................................................................................17</w:t>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8"/>
        </w:rPr>
      </w:pPr>
      <w:r>
        <w:rPr>
          <w:i/>
          <w:iCs/>
          <w:sz w:val="28"/>
        </w:rPr>
        <w:t>6   CJENIK…...............................................................................................18</w:t>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8"/>
        </w:rPr>
      </w:pPr>
      <w:r>
        <w:rPr>
          <w:i/>
          <w:iCs/>
          <w:sz w:val="28"/>
        </w:rPr>
      </w:r>
    </w:p>
    <w:p>
      <w:pPr>
        <w:pStyle w:val="Tijeloteksta2"/>
        <w:tabs>
          <w:tab w:val="clear" w:pos="708"/>
          <w:tab w:val="left" w:pos="2955" w:leader="none"/>
          <w:tab w:val="left" w:pos="8640" w:leader="none"/>
        </w:tabs>
        <w:rPr>
          <w:i/>
          <w:iCs/>
          <w:sz w:val="26"/>
        </w:rPr>
      </w:pPr>
      <w:r>
        <w:rPr>
          <w:i/>
          <w:iCs/>
          <w:sz w:val="28"/>
        </w:rPr>
        <w:t xml:space="preserve">                                                                               </w:t>
      </w:r>
    </w:p>
    <w:p>
      <w:pPr>
        <w:pStyle w:val="Normal"/>
        <w:tabs>
          <w:tab w:val="clear" w:pos="708"/>
          <w:tab w:val="left" w:pos="360" w:leader="none"/>
        </w:tabs>
        <w:rPr/>
      </w:pPr>
      <w:r>
        <w:rPr>
          <w:rFonts w:cs="Arial" w:ascii="Arial" w:hAnsi="Arial"/>
          <w:b/>
          <w:bCs/>
          <w:i/>
          <w:iCs/>
          <w:sz w:val="36"/>
        </w:rPr>
        <w:t>1.  UVOD</w:t>
      </w:r>
    </w:p>
    <w:p>
      <w:pPr>
        <w:pStyle w:val="Normal"/>
        <w:tabs>
          <w:tab w:val="clear" w:pos="708"/>
          <w:tab w:val="left" w:pos="360" w:leader="none"/>
        </w:tabs>
        <w:rPr>
          <w:rFonts w:ascii="Arial" w:hAnsi="Arial" w:cs="Arial"/>
          <w:b/>
          <w:bCs/>
          <w:i/>
          <w:iCs/>
          <w:sz w:val="36"/>
        </w:rPr>
      </w:pPr>
      <w:r>
        <w:rPr>
          <w:rFonts w:cs="Arial" w:ascii="Arial" w:hAnsi="Arial"/>
          <w:b/>
          <w:bCs/>
          <w:i/>
          <w:iCs/>
          <w:sz w:val="3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 xml:space="preserve">Dana 23. srpnja 2021. godine stupio je na snagu Zakon o gospodarenju otpadom (NN, broj: 84/2021 – u daljnjem tekstu: Zakon), te dopune Zakona 29.11.2023. godine NN 143/2023 kojim se uređuje sustav gospodarenja otpadom koji ima za cilj zaštitu okoliša i ljudskog zdravlja sprječavanjem ili smanjenjem nastanka otpada te povećanje recikliranja i ponovnog korištenja reciklanata. </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 xml:space="preserve">U vezi s provedbom mjera koje imaju za svrhu ostvarenje ovih ciljeva Zakon je propisao nadležnosti u gospodarenju otpadom. </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pPr>
      <w:r>
        <w:rPr>
          <w:rFonts w:cs="Arial" w:ascii="Arial" w:hAnsi="Arial"/>
          <w:bCs/>
          <w:i/>
          <w:iCs/>
          <w:sz w:val="26"/>
          <w:szCs w:val="26"/>
        </w:rPr>
        <w:t>S  tim u vezi članak 10. stavak. 1. Zakona propisuje da je gospodarenje otpadom i građenje građevina za postupanje za gospodarenje otpadom od interesa za Republiku Hrvatsku, a stavak 4. istog članka određuje da je izvršno tijelo jedinice lokalne samouprave dužno na svom području osigurati uvjete i provedbu propisanih mjera gospodarenja otpadom.</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pPr>
      <w:r>
        <w:rPr>
          <w:rFonts w:cs="Arial" w:ascii="Arial" w:hAnsi="Arial"/>
          <w:bCs/>
          <w:i/>
          <w:iCs/>
          <w:sz w:val="26"/>
          <w:szCs w:val="26"/>
        </w:rPr>
        <w:t>Gospodarenje komunalnim otpadom osigurava se mogućnost korištenja javne usluge sakupljanja komunalnog otpada te se potiče proizvođače otpada i posjednika otpada da odvojeno predaju otpad kako bi se smanjila količina miješanog komunalnog otpada koje nastaje, smanjio udio biootpada u proizvedenom miješanom komunalnom otpadu, povećale količine odvojeno prikupljenog reciklabilnog otpada.</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Javna usluga je usluga od općeg interesa.</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pPr>
      <w:r>
        <w:rPr>
          <w:rFonts w:cs="Arial" w:ascii="Arial" w:hAnsi="Arial"/>
          <w:bCs/>
          <w:i/>
          <w:iCs/>
          <w:sz w:val="26"/>
          <w:szCs w:val="26"/>
        </w:rPr>
        <w:t xml:space="preserve">Izvršno tijelo jedinice lokalne samouprave dužno je na svom području osigurati obavljanje javne usluge sakupljanja komunalnog otpada na kvalitetan, postojan i ekonomski učinkovit način, izbjegavajući neopravdano visoke troškove, u skladu s načelima održivog razvoja, zaštite okoliša, osiguravajući pri tom javnost rada kako bi se osiguralo odvojeno sakupljanje miješanog komunalnog otpada iz kućanstava i drugih izvora, biootpada iz kućanstava, reciklabilnog </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komunalnog otpada, opasnog otpada i glomaznog otpada iz kućanstava.</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Javna usluga sakupljanja komunalnog otpada uključuje:</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 xml:space="preserve">1. Uslugu sakupljanja, na lokaciji obračunskog mjesta korisnika usluge </w:t>
      </w:r>
    </w:p>
    <w:p>
      <w:pPr>
        <w:pStyle w:val="Normal"/>
        <w:tabs>
          <w:tab w:val="clear" w:pos="708"/>
          <w:tab w:val="left" w:pos="360" w:leader="none"/>
        </w:tabs>
        <w:rPr/>
      </w:pPr>
      <w:r>
        <w:rPr>
          <w:rFonts w:cs="Arial" w:ascii="Arial" w:hAnsi="Arial"/>
          <w:bCs/>
          <w:i/>
          <w:iCs/>
          <w:sz w:val="26"/>
          <w:szCs w:val="26"/>
        </w:rPr>
        <w:t>- miješanog komunalnog otpada</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 biootpada</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 xml:space="preserve">- reciklabilnog komunalnog otpada </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 glomaznog otpada jednom godišnje,</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 xml:space="preserve">2. Uslugu preuzimanja otpada u reciklažnom dvorištu i </w:t>
      </w:r>
    </w:p>
    <w:p>
      <w:pPr>
        <w:pStyle w:val="Normal"/>
        <w:tabs>
          <w:tab w:val="clear" w:pos="708"/>
          <w:tab w:val="left" w:pos="360" w:leader="none"/>
        </w:tabs>
        <w:rPr/>
      </w:pPr>
      <w:r>
        <w:rPr>
          <w:rFonts w:cs="Arial" w:ascii="Arial" w:hAnsi="Arial"/>
          <w:bCs/>
          <w:i/>
          <w:iCs/>
          <w:sz w:val="26"/>
          <w:szCs w:val="26"/>
        </w:rPr>
        <w:t>3. Uslugu prijevoza i predaje otpada ovlaštenoj osobi.</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pPr>
      <w:r>
        <w:rPr>
          <w:rFonts w:cs="Arial" w:ascii="Arial" w:hAnsi="Arial"/>
          <w:bCs/>
          <w:i/>
          <w:iCs/>
          <w:sz w:val="26"/>
          <w:szCs w:val="26"/>
        </w:rPr>
        <w:t xml:space="preserve">Zakon o gospodarenu otpadom u članku 69. precizno definira obveze davatelja javne usluge.  </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pPr>
      <w:r>
        <w:rPr>
          <w:rFonts w:cs="Arial" w:ascii="Arial" w:hAnsi="Arial"/>
          <w:bCs/>
          <w:i/>
          <w:iCs/>
          <w:sz w:val="26"/>
          <w:szCs w:val="26"/>
        </w:rPr>
        <w:t xml:space="preserve">Obveze davatelja javne usluge svode se na stvaranje uvjeta za davanje usluge, obavljanje usluge, odgovaranje za utvrđeni standard usluge koji se sastoje u sigurnosti, redovitosti i kvaliteti, te osiguranju provjere da otpad sadržan u spremniku prilikom primopredaje odgovara vrsti otpada čija se primopredaja obavlja. </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Davatelji javne usluge i usluge povezane s javnom uslugom moraju osigurati sve spomenute standarde i pretpostavke za pojedinačno korištenje javne usluge uključivo i kad više korisnika koristi zajednički spremnik.</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Dakle, davatelj je dužan:</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pPr>
      <w:r>
        <w:rPr>
          <w:rFonts w:cs="Arial" w:ascii="Arial" w:hAnsi="Arial"/>
          <w:bCs/>
          <w:i/>
          <w:iCs/>
          <w:sz w:val="26"/>
          <w:szCs w:val="26"/>
        </w:rPr>
        <w:t xml:space="preserve">1. </w:t>
      </w:r>
      <w:r>
        <w:rPr>
          <w:rFonts w:cs="Arial" w:ascii="Arial" w:hAnsi="Arial"/>
          <w:bCs/>
          <w:i/>
          <w:iCs/>
          <w:sz w:val="26"/>
          <w:szCs w:val="26"/>
          <w:u w:val="single"/>
        </w:rPr>
        <w:t>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r>
        <w:rPr>
          <w:rFonts w:cs="Arial" w:ascii="Arial" w:hAnsi="Arial"/>
          <w:bCs/>
          <w:i/>
          <w:iCs/>
          <w:sz w:val="26"/>
          <w:szCs w:val="26"/>
        </w:rPr>
        <w:t>;</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2. pružati javnu uslugu u skladu sa Zakonom o gospodarenu otpadom i Odlukom iz članka 66. Zakona;</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pPr>
      <w:r>
        <w:rPr>
          <w:rFonts w:cs="Arial" w:ascii="Arial" w:hAnsi="Arial"/>
          <w:bCs/>
          <w:i/>
          <w:iCs/>
          <w:sz w:val="26"/>
          <w:szCs w:val="26"/>
        </w:rPr>
        <w:t xml:space="preserve">3. </w:t>
      </w:r>
      <w:r>
        <w:rPr>
          <w:rFonts w:cs="Arial" w:ascii="Arial" w:hAnsi="Arial"/>
          <w:bCs/>
          <w:i/>
          <w:iCs/>
          <w:sz w:val="26"/>
          <w:szCs w:val="26"/>
          <w:u w:val="single"/>
        </w:rPr>
        <w:t>snositi sve troškove gospodarenja prikupljenim otpadom</w:t>
      </w:r>
      <w:r>
        <w:rPr>
          <w:rFonts w:cs="Arial" w:ascii="Arial" w:hAnsi="Arial"/>
          <w:bCs/>
          <w:i/>
          <w:iCs/>
          <w:sz w:val="26"/>
          <w:szCs w:val="26"/>
        </w:rPr>
        <w:t>, osim troškova postupanja s reciklabilnim komunalnim otpadom koji se sastoji pretežito od otpadne ambalaže;</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pPr>
      <w:r>
        <w:rPr>
          <w:rFonts w:cs="Arial" w:ascii="Arial" w:hAnsi="Arial"/>
          <w:bCs/>
          <w:i/>
          <w:iCs/>
          <w:sz w:val="26"/>
          <w:szCs w:val="26"/>
        </w:rPr>
        <w:t xml:space="preserve">4. </w:t>
      </w:r>
      <w:r>
        <w:rPr>
          <w:rFonts w:cs="Arial" w:ascii="Arial" w:hAnsi="Arial"/>
          <w:bCs/>
          <w:i/>
          <w:iCs/>
          <w:sz w:val="26"/>
          <w:szCs w:val="26"/>
          <w:u w:val="single"/>
        </w:rPr>
        <w:t>osigurati korisniku usluge spremnike</w:t>
      </w:r>
      <w:r>
        <w:rPr>
          <w:rFonts w:cs="Arial" w:ascii="Arial" w:hAnsi="Arial"/>
          <w:bCs/>
          <w:i/>
          <w:iCs/>
          <w:sz w:val="26"/>
          <w:szCs w:val="26"/>
        </w:rPr>
        <w:t xml:space="preserve"> za primopredaju komunalnog otpada;</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pPr>
      <w:r>
        <w:rPr>
          <w:rFonts w:cs="Arial" w:ascii="Arial" w:hAnsi="Arial"/>
          <w:bCs/>
          <w:i/>
          <w:iCs/>
          <w:sz w:val="26"/>
          <w:szCs w:val="26"/>
        </w:rPr>
        <w:t>5. preuzeti sadržaj spremnika od korisnika usluge i to odvojeno miješani komunalni otpad, biootpad, reciklabilni komunalni otpad i glomazni otpad;</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6. osigurati provjeru da otpad sadržan u spremniku prilikom primopredaje odgovara vrsti otpada čija se primopredaja obavlja;</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7. osigurati uvjete kojima se ostvaruje pojedinačno korištenje javne usluge neovisno o broju korisnika usluge koji koriste zajednički spremnik;</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8. predati sakupljeni reciklabilni komunalni otpad osobi koju odredi Fond za zaštitu okoliša i energetsku učinkovitost;</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 xml:space="preserve">9. </w:t>
      </w:r>
      <w:r>
        <w:rPr>
          <w:rFonts w:cs="Arial" w:ascii="Arial" w:hAnsi="Arial"/>
          <w:bCs/>
          <w:i/>
          <w:iCs/>
          <w:sz w:val="26"/>
          <w:szCs w:val="26"/>
          <w:u w:val="single"/>
        </w:rPr>
        <w:t>voditi evidencije o preuzetom komunalnom otpadu</w:t>
      </w:r>
      <w:r>
        <w:rPr>
          <w:rFonts w:cs="Arial" w:ascii="Arial" w:hAnsi="Arial"/>
          <w:bCs/>
          <w:i/>
          <w:iCs/>
          <w:sz w:val="26"/>
          <w:szCs w:val="26"/>
        </w:rPr>
        <w:t>,a koje su propisane člankom 82. Zakona;</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10. na spremniku održavati natpis s nazivom davatelja usluge, oznaku koja je u Evidenciji o preuzetom komunalnom otpadu pridružena korisniku usluge i obračunskom mjestu i naziv vrste otpada za koju je spremnik namijenjen;</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11. osigurati sigurnost, redovitost i kvalitetu javne usluge;</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12. predati miješani komunalni otpad u centar za gospodarenje otpadom sukladno Planu gospodarenja otpadom Republike Hrvatske i</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t>13. obračunati cijenu javne usluge na način propisan Zakonom, Odlukom iz članka 66. stavka 1. Zakona i cjenikom iz članka 77. ovoga Zakona</w:t>
      </w:r>
    </w:p>
    <w:p>
      <w:pPr>
        <w:pStyle w:val="Normal"/>
        <w:tabs>
          <w:tab w:val="clear" w:pos="708"/>
          <w:tab w:val="left" w:pos="360" w:leader="none"/>
        </w:tabs>
        <w:rPr>
          <w:rFonts w:ascii="Arial" w:hAnsi="Arial" w:cs="Arial"/>
          <w:bCs/>
          <w:i/>
          <w:iCs/>
          <w:sz w:val="26"/>
          <w:szCs w:val="26"/>
        </w:rPr>
      </w:pPr>
      <w:r>
        <w:rPr>
          <w:rFonts w:cs="Arial" w:ascii="Arial" w:hAnsi="Arial"/>
          <w:bCs/>
          <w:i/>
          <w:iCs/>
          <w:sz w:val="26"/>
          <w:szCs w:val="26"/>
        </w:rPr>
      </w:r>
    </w:p>
    <w:p>
      <w:pPr>
        <w:pStyle w:val="Normal"/>
        <w:tabs>
          <w:tab w:val="clear" w:pos="708"/>
          <w:tab w:val="left" w:pos="360" w:leader="none"/>
        </w:tabs>
        <w:rPr/>
      </w:pPr>
      <w:r>
        <w:rPr>
          <w:rFonts w:cs="Arial" w:ascii="Arial" w:hAnsi="Arial"/>
          <w:bCs/>
          <w:i/>
          <w:iCs/>
          <w:sz w:val="26"/>
          <w:szCs w:val="26"/>
        </w:rPr>
        <w:t>14. na računu za javnu uslugu navesti sve elemente temeljem kojih je izvršio obračun cijene javne usluge, uključivo i porez na dodanu vrijednost određen sukladno posebnom propisu kojim se uređuje porez na dodanu vrijednost.</w:t>
      </w:r>
    </w:p>
    <w:p>
      <w:pPr>
        <w:pStyle w:val="BodyText"/>
        <w:rPr>
          <w:rFonts w:ascii="Arial" w:hAnsi="Arial" w:cs="Arial"/>
          <w:bCs/>
          <w:i/>
          <w:iCs/>
          <w:sz w:val="26"/>
          <w:szCs w:val="26"/>
        </w:rPr>
      </w:pPr>
      <w:r>
        <w:rPr>
          <w:rFonts w:cs="Arial"/>
          <w:bCs/>
          <w:i/>
          <w:iCs/>
          <w:sz w:val="26"/>
          <w:szCs w:val="26"/>
        </w:rPr>
      </w:r>
    </w:p>
    <w:p>
      <w:pPr>
        <w:pStyle w:val="BodyText"/>
        <w:rPr>
          <w:szCs w:val="26"/>
        </w:rPr>
      </w:pPr>
      <w:r>
        <w:rPr>
          <w:szCs w:val="26"/>
        </w:rPr>
      </w:r>
    </w:p>
    <w:p>
      <w:pPr>
        <w:pStyle w:val="BodyText"/>
        <w:rPr/>
      </w:pPr>
      <w:r>
        <w:rPr>
          <w:b/>
          <w:i/>
          <w:szCs w:val="26"/>
        </w:rPr>
        <w:t xml:space="preserve">Važno je naglasiti da gore navedeni članci Zakona o gospodarenju otpadom očito </w:t>
      </w:r>
      <w:r>
        <w:rPr>
          <w:b/>
          <w:i/>
          <w:szCs w:val="26"/>
          <w:u w:val="single"/>
        </w:rPr>
        <w:t>propisuju infrastrukturne zahtjeve</w:t>
      </w:r>
      <w:r>
        <w:rPr>
          <w:b/>
          <w:i/>
          <w:szCs w:val="26"/>
        </w:rPr>
        <w:t xml:space="preserve"> koje davatelji usluge moraju ispuniti kako bi se postiglo i u najvećoj mogućoj mjeri osiguralo odvojeno sakupljanje komunalnog otpada. </w:t>
      </w:r>
    </w:p>
    <w:p>
      <w:pPr>
        <w:pStyle w:val="BodyText"/>
        <w:rPr>
          <w:b/>
          <w:i/>
          <w:szCs w:val="26"/>
        </w:rPr>
      </w:pPr>
      <w:r>
        <w:rPr>
          <w:b/>
          <w:i/>
          <w:szCs w:val="26"/>
        </w:rPr>
      </w:r>
    </w:p>
    <w:p>
      <w:pPr>
        <w:pStyle w:val="BodyText"/>
        <w:rPr/>
      </w:pPr>
      <w:r>
        <w:rPr>
          <w:b/>
          <w:i/>
          <w:szCs w:val="26"/>
        </w:rPr>
        <w:t xml:space="preserve">Osiguranje provedbe Zakona u cijelosti je stavljeno u obvezu davatelju javne usluge, </w:t>
      </w:r>
      <w:r>
        <w:rPr>
          <w:b/>
          <w:i/>
          <w:szCs w:val="26"/>
          <w:u w:val="double"/>
        </w:rPr>
        <w:t>dakle nužno je da Čistoća d.o.o. Split kontinuirano financijski ulaže u infrastrukturu da bi sve se navedeno moglo provesti.</w:t>
      </w:r>
    </w:p>
    <w:p>
      <w:pPr>
        <w:pStyle w:val="BodyText"/>
        <w:rPr>
          <w:b/>
          <w:i/>
          <w:szCs w:val="26"/>
          <w:u w:val="double"/>
        </w:rPr>
      </w:pPr>
      <w:r>
        <w:rPr>
          <w:b/>
          <w:i/>
          <w:szCs w:val="26"/>
          <w:u w:val="double"/>
        </w:rPr>
      </w:r>
    </w:p>
    <w:p>
      <w:pPr>
        <w:pStyle w:val="BodyText"/>
        <w:rPr>
          <w:b/>
          <w:i/>
          <w:szCs w:val="26"/>
        </w:rPr>
      </w:pPr>
      <w:r>
        <w:rPr>
          <w:b/>
          <w:i/>
          <w:szCs w:val="26"/>
        </w:rPr>
      </w:r>
      <w:bookmarkStart w:id="0" w:name="_Hlk88430906"/>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Normal"/>
        <w:tabs>
          <w:tab w:val="clear" w:pos="708"/>
          <w:tab w:val="left" w:pos="360" w:leader="none"/>
        </w:tabs>
        <w:rPr>
          <w:rFonts w:ascii="Arial" w:hAnsi="Arial" w:cs="Arial"/>
          <w:b/>
          <w:bCs/>
          <w:i/>
          <w:iCs/>
          <w:sz w:val="36"/>
        </w:rPr>
      </w:pPr>
      <w:r>
        <w:rPr>
          <w:rFonts w:cs="Arial" w:ascii="Arial" w:hAnsi="Arial"/>
          <w:b/>
          <w:bCs/>
          <w:i/>
          <w:iCs/>
          <w:sz w:val="36"/>
        </w:rPr>
        <w:t>2.     PRIJEDLOG CIJENE JAVNE USLUGE-OMJU</w:t>
      </w:r>
    </w:p>
    <w:p>
      <w:pPr>
        <w:pStyle w:val="BodyText"/>
        <w:rPr>
          <w:rFonts w:ascii="Arial" w:hAnsi="Arial" w:cs="Arial"/>
          <w:b/>
          <w:bCs/>
          <w:i/>
          <w:iCs/>
          <w:sz w:val="36"/>
        </w:rPr>
      </w:pPr>
      <w:r>
        <w:rPr>
          <w:rFonts w:cs="Arial"/>
          <w:b/>
          <w:bCs/>
          <w:i/>
          <w:iCs/>
          <w:sz w:val="36"/>
        </w:rPr>
      </w:r>
    </w:p>
    <w:p>
      <w:pPr>
        <w:pStyle w:val="BodyText"/>
        <w:rPr>
          <w:b/>
          <w:i/>
        </w:rPr>
      </w:pPr>
      <w:r>
        <w:rPr>
          <w:b/>
          <w:i/>
        </w:rPr>
      </w:r>
    </w:p>
    <w:p>
      <w:pPr>
        <w:pStyle w:val="BodyText"/>
        <w:rPr>
          <w:b/>
          <w:i/>
        </w:rPr>
      </w:pPr>
      <w:r>
        <w:rPr>
          <w:b/>
          <w:i/>
        </w:rPr>
      </w:r>
    </w:p>
    <w:p>
      <w:pPr>
        <w:pStyle w:val="BodyText"/>
        <w:rPr>
          <w:i/>
          <w:iCs/>
        </w:rPr>
      </w:pPr>
      <w:r>
        <w:rPr>
          <w:i/>
          <w:iCs/>
        </w:rPr>
        <w:t xml:space="preserve">          </w:t>
      </w:r>
      <w:r>
        <w:rPr>
          <w:i/>
          <w:iCs/>
        </w:rPr>
        <w:t xml:space="preserve">Krajnji cilj utvrđivanja jedinične cijene za uslugu prikupljanja, prijevoza i deponiranja komunalnog otpada je cijena javne usluge bi se sastojala od fiksnog i varijabilnog dijela (C = FC + VC). </w:t>
      </w:r>
    </w:p>
    <w:p>
      <w:pPr>
        <w:pStyle w:val="BodyText"/>
        <w:rPr>
          <w:i/>
          <w:iCs/>
        </w:rPr>
      </w:pPr>
      <w:r>
        <w:rPr>
          <w:i/>
          <w:iCs/>
        </w:rPr>
      </w:r>
    </w:p>
    <w:p>
      <w:pPr>
        <w:pStyle w:val="BodyText"/>
        <w:rPr/>
      </w:pPr>
      <w:r>
        <w:rPr>
          <w:b/>
          <w:i/>
          <w:iCs/>
          <w:u w:val="single"/>
        </w:rPr>
        <w:t>Fiksni dio tj. cijena obvezne minimalne javne usluge bi pokrivao fiksni trošak koji služba ima, te osigurava redovitost i kvalitetu pružanja usluge.</w:t>
      </w:r>
    </w:p>
    <w:p>
      <w:pPr>
        <w:pStyle w:val="BodyText"/>
        <w:rPr>
          <w:b/>
          <w:i/>
          <w:iCs/>
          <w:u w:val="single"/>
        </w:rPr>
      </w:pPr>
      <w:r>
        <w:rPr>
          <w:b/>
          <w:i/>
          <w:iCs/>
          <w:u w:val="single"/>
        </w:rPr>
      </w:r>
    </w:p>
    <w:p>
      <w:pPr>
        <w:pStyle w:val="BodyText"/>
        <w:rPr>
          <w:b/>
          <w:i/>
        </w:rPr>
      </w:pPr>
      <w:r>
        <w:rPr>
          <w:b/>
          <w:i/>
        </w:rPr>
        <w:t>Svrha obvezne minimalne javne usluge jest osigurati trajnu raspoloživost i funkcionalnost cjelokupnog sustava gospodarenja komunalnim otpadom, odnosno sposobnost davatelja usluge da u svakom trenutku osigura sigurnu, redovitu i kvalitetnu javnu uslugu.</w:t>
      </w:r>
    </w:p>
    <w:p>
      <w:pPr>
        <w:pStyle w:val="BodyText"/>
        <w:rPr>
          <w:b/>
          <w:i/>
        </w:rPr>
      </w:pPr>
      <w:r>
        <w:rPr>
          <w:b/>
          <w:i/>
        </w:rPr>
      </w:r>
    </w:p>
    <w:p>
      <w:pPr>
        <w:pStyle w:val="BodyText"/>
        <w:rPr/>
      </w:pPr>
      <w:r>
        <w:rPr>
          <w:b/>
          <w:i/>
        </w:rPr>
        <w:t xml:space="preserve">Kod skorisnika kategorije kućanstvo potreba za uslugom u pravilu je kontinuirana i ravnomjernije raspoređena tijekom godine, zbog čega je opterećenje sustava stabilnije i predvidljivije. </w:t>
      </w:r>
    </w:p>
    <w:p>
      <w:pPr>
        <w:pStyle w:val="BodyText"/>
        <w:rPr>
          <w:b/>
          <w:i/>
        </w:rPr>
      </w:pPr>
      <w:r>
        <w:rPr>
          <w:b/>
          <w:i/>
        </w:rPr>
        <w:t xml:space="preserve">Nasuprot tome, kod korisnika kategorije koji nije kućanstvo, osobito u djelatnostima izražene sezonalnosti, sustav mora biti dimenzioniran prema vršnim opterećenjima, a ne prema prosječnoj godišnjoj uporabi. </w:t>
      </w:r>
    </w:p>
    <w:p>
      <w:pPr>
        <w:pStyle w:val="BodyText"/>
        <w:rPr>
          <w:b/>
          <w:i/>
        </w:rPr>
      </w:pPr>
      <w:r>
        <w:rPr>
          <w:b/>
          <w:i/>
        </w:rPr>
      </w:r>
    </w:p>
    <w:p>
      <w:pPr>
        <w:pStyle w:val="BodyText"/>
        <w:rPr/>
      </w:pPr>
      <w:r>
        <w:rPr>
          <w:b/>
          <w:i/>
        </w:rPr>
        <w:t>To znači da davatelj usluge mora tijekom cijele godine osiguravati dodatne kapacitete u vidu ljudstva, vozila, spremnika, opreme i organizacije rada kako bi mogao odgovoriti na znatno povećane potrebe u određenim razdobljima godine, iako ti kapaciteti izvan tih razdoblja mogu biti djelomično ili znatno manje iskorišteni.</w:t>
      </w:r>
    </w:p>
    <w:p>
      <w:pPr>
        <w:pStyle w:val="BodyText"/>
        <w:rPr>
          <w:b/>
          <w:i/>
        </w:rPr>
      </w:pPr>
      <w:r>
        <w:rPr>
          <w:b/>
          <w:i/>
        </w:rPr>
      </w:r>
    </w:p>
    <w:p>
      <w:pPr>
        <w:pStyle w:val="BodyText"/>
        <w:rPr>
          <w:b/>
          <w:i/>
        </w:rPr>
      </w:pPr>
      <w:r>
        <w:rPr>
          <w:b/>
          <w:i/>
        </w:rPr>
        <w:t xml:space="preserve">Takva stalna spremnost sustava generira kontinuirane troškove neovisno o trenutnom stupnju korištenja kapaciteta, uključujući troškove nabave i financiranja vozila i opreme, amortizacije, osiguranja, servisa, održavanja, plaća radnika i organizacije sustava. </w:t>
      </w:r>
    </w:p>
    <w:p>
      <w:pPr>
        <w:pStyle w:val="BodyText"/>
        <w:rPr>
          <w:b/>
          <w:i/>
        </w:rPr>
      </w:pPr>
      <w:r>
        <w:rPr>
          <w:b/>
          <w:i/>
        </w:rPr>
      </w:r>
    </w:p>
    <w:p>
      <w:pPr>
        <w:pStyle w:val="BodyText"/>
        <w:rPr/>
      </w:pPr>
      <w:r>
        <w:rPr>
          <w:b/>
          <w:i/>
        </w:rPr>
        <w:t>Posljedično, prosječno opterećenje sustava po korisniku kategorije koji nije kućanstvo objektivno je veće nego kod korisnika kategorije kućanstvo, pa je opravdano da se dio tih troškova pokriva kroz višu cijenu obvezne minimalne javne usluge za kategoriju korisnika koji nije kućanstvo. Takvo razlikovanje ne temelji se na formalnom odvajanju vozila, radnika ili druge infrastrukture po kategorijama korisnika, već na stvarno različitom kapacitetu sustava koji je potrebno trajno osiguravati radi urednog i održivog pružanja javne usluge.</w:t>
      </w:r>
    </w:p>
    <w:p>
      <w:pPr>
        <w:pStyle w:val="BodyText"/>
        <w:rPr>
          <w:b/>
          <w:i/>
          <w:iCs/>
          <w:u w:val="single"/>
        </w:rPr>
      </w:pPr>
      <w:r>
        <w:rPr>
          <w:b/>
          <w:i/>
          <w:iCs/>
          <w:u w:val="single"/>
        </w:rPr>
      </w:r>
    </w:p>
    <w:p>
      <w:pPr>
        <w:pStyle w:val="BodyText"/>
        <w:rPr>
          <w:b/>
          <w:i/>
          <w:iCs/>
          <w:u w:val="single"/>
        </w:rPr>
      </w:pPr>
      <w:r>
        <w:rPr>
          <w:b/>
          <w:i/>
          <w:iCs/>
          <w:u w:val="single"/>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Normal"/>
        <w:tabs>
          <w:tab w:val="clear" w:pos="708"/>
          <w:tab w:val="left" w:pos="360" w:leader="none"/>
        </w:tabs>
        <w:rPr/>
      </w:pPr>
      <w:r>
        <w:rPr>
          <w:rFonts w:cs="Arial" w:ascii="Arial" w:hAnsi="Arial"/>
          <w:b/>
          <w:bCs/>
          <w:i/>
          <w:iCs/>
          <w:sz w:val="36"/>
        </w:rPr>
        <w:t>2.1.  KATEGORIJA KORISNIKA KUĆANSTVO</w:t>
      </w:r>
    </w:p>
    <w:p>
      <w:pPr>
        <w:pStyle w:val="BodyText"/>
        <w:rPr>
          <w:rFonts w:ascii="Arial" w:hAnsi="Arial" w:cs="Arial"/>
          <w:b/>
          <w:bCs/>
          <w:i/>
          <w:iCs/>
          <w:sz w:val="36"/>
        </w:rPr>
      </w:pPr>
      <w:r>
        <w:rPr>
          <w:rFonts w:cs="Arial"/>
          <w:b/>
          <w:bCs/>
          <w:i/>
          <w:iCs/>
          <w:sz w:val="36"/>
        </w:rPr>
      </w:r>
    </w:p>
    <w:p>
      <w:pPr>
        <w:pStyle w:val="BodyText"/>
        <w:rPr/>
      </w:pPr>
      <w:r>
        <w:rPr>
          <w:i/>
          <w:iCs/>
        </w:rPr>
        <w:t>Fiksni dio cijene</w:t>
      </w:r>
      <w:r>
        <w:rPr>
          <w:b/>
          <w:i/>
          <w:iCs/>
        </w:rPr>
        <w:t xml:space="preserve"> za KATEGORIJU KUĆANSTVO tj. cijena </w:t>
      </w:r>
      <w:r>
        <w:rPr>
          <w:b/>
          <w:i/>
          <w:iCs/>
          <w:u w:val="single"/>
        </w:rPr>
        <w:t>obvezne minimalne javne usluge</w:t>
      </w:r>
      <w:r>
        <w:rPr>
          <w:b/>
          <w:i/>
          <w:iCs/>
        </w:rPr>
        <w:t xml:space="preserve"> bi na nivou jednog mjeseca</w:t>
      </w:r>
      <w:r>
        <w:rPr>
          <w:i/>
          <w:iCs/>
        </w:rPr>
        <w:t xml:space="preserve"> iznosila </w:t>
      </w:r>
      <w:r>
        <w:rPr>
          <w:b/>
          <w:i/>
          <w:iCs/>
        </w:rPr>
        <w:t>12,42 eura</w:t>
      </w:r>
      <w:r>
        <w:rPr>
          <w:i/>
          <w:iCs/>
        </w:rPr>
        <w:t xml:space="preserve"> bez PDV-a* od 01.10.2026. godine (trenutna cijena je 3,98 eura).</w:t>
      </w:r>
    </w:p>
    <w:p>
      <w:pPr>
        <w:pStyle w:val="Normal"/>
        <w:jc w:val="center"/>
        <w:rPr>
          <w:rFonts w:ascii="Arial" w:hAnsi="Arial" w:cs="Arial"/>
          <w:i/>
          <w:iCs/>
          <w:sz w:val="8"/>
        </w:rPr>
      </w:pPr>
      <w:r>
        <w:rPr>
          <w:rFonts w:cs="Arial" w:ascii="Arial" w:hAnsi="Arial"/>
          <w:i/>
          <w:iCs/>
          <w:sz w:val="8"/>
        </w:rPr>
      </w:r>
    </w:p>
    <w:p>
      <w:pPr>
        <w:pStyle w:val="Normal"/>
        <w:rPr/>
      </w:pPr>
      <w:bookmarkStart w:id="1" w:name="_Hlk88693611"/>
      <w:r>
        <w:rPr>
          <w:rFonts w:cs="Arial" w:ascii="Arial" w:hAnsi="Arial"/>
          <w:i/>
          <w:iCs/>
        </w:rPr>
        <w:t xml:space="preserve">(primjenjuje se stopa PDV-a od 13%)     </w:t>
      </w:r>
    </w:p>
    <w:p>
      <w:pPr>
        <w:pStyle w:val="BodyText"/>
        <w:rPr>
          <w:rFonts w:ascii="Arial" w:hAnsi="Arial" w:cs="Arial"/>
          <w:b/>
          <w:i/>
          <w:iCs/>
        </w:rPr>
      </w:pPr>
      <w:r>
        <w:rPr>
          <w:rFonts w:cs="Arial"/>
          <w:b/>
          <w:i/>
          <w:iCs/>
        </w:rPr>
      </w:r>
      <w:bookmarkEnd w:id="1"/>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Normal"/>
        <w:tabs>
          <w:tab w:val="clear" w:pos="708"/>
          <w:tab w:val="left" w:pos="360" w:leader="none"/>
        </w:tabs>
        <w:rPr/>
      </w:pPr>
      <w:r>
        <w:rPr>
          <w:rFonts w:cs="Arial" w:ascii="Arial" w:hAnsi="Arial"/>
          <w:b/>
          <w:bCs/>
          <w:i/>
          <w:iCs/>
          <w:sz w:val="36"/>
        </w:rPr>
        <w:t>2.2.  KATEGORIJA KORISNIKA KOJI NISU KUĆANSTVO</w:t>
      </w:r>
    </w:p>
    <w:p>
      <w:pPr>
        <w:pStyle w:val="BodyText"/>
        <w:rPr>
          <w:rFonts w:ascii="Arial" w:hAnsi="Arial" w:cs="Arial"/>
          <w:b/>
          <w:bCs/>
          <w:i/>
          <w:iCs/>
          <w:sz w:val="36"/>
        </w:rPr>
      </w:pPr>
      <w:r>
        <w:rPr>
          <w:rFonts w:cs="Arial"/>
          <w:b/>
          <w:bCs/>
          <w:i/>
          <w:iCs/>
          <w:sz w:val="36"/>
        </w:rPr>
      </w:r>
    </w:p>
    <w:p>
      <w:pPr>
        <w:pStyle w:val="BodyText"/>
        <w:rPr/>
      </w:pPr>
      <w:r>
        <w:rPr>
          <w:i/>
          <w:iCs/>
        </w:rPr>
        <w:t>Fiksni dio cijene</w:t>
      </w:r>
      <w:r>
        <w:rPr>
          <w:b/>
          <w:i/>
          <w:iCs/>
        </w:rPr>
        <w:t xml:space="preserve"> za KORISNIKE KOJI NISU KUĆANSTVO tj. cijena </w:t>
      </w:r>
      <w:r>
        <w:rPr>
          <w:b/>
          <w:i/>
          <w:iCs/>
          <w:u w:val="single"/>
        </w:rPr>
        <w:t>obvezne minimalne javne usluge</w:t>
      </w:r>
      <w:r>
        <w:rPr>
          <w:b/>
          <w:i/>
          <w:iCs/>
        </w:rPr>
        <w:t xml:space="preserve"> bi na nivou jednog mjeseca</w:t>
      </w:r>
      <w:r>
        <w:rPr>
          <w:i/>
          <w:iCs/>
        </w:rPr>
        <w:t xml:space="preserve"> iznosila </w:t>
      </w:r>
      <w:r>
        <w:rPr>
          <w:b/>
          <w:i/>
          <w:iCs/>
        </w:rPr>
        <w:t>18,66 eura</w:t>
      </w:r>
      <w:r>
        <w:rPr>
          <w:i/>
          <w:iCs/>
        </w:rPr>
        <w:t xml:space="preserve"> bez PDV-a* od 01.10.2026. godine (trenutna cijena je 13,27 eura).</w:t>
      </w:r>
    </w:p>
    <w:p>
      <w:pPr>
        <w:pStyle w:val="Normal"/>
        <w:jc w:val="center"/>
        <w:rPr>
          <w:rFonts w:ascii="Arial" w:hAnsi="Arial" w:cs="Arial"/>
          <w:i/>
          <w:iCs/>
          <w:sz w:val="8"/>
        </w:rPr>
      </w:pPr>
      <w:r>
        <w:rPr>
          <w:rFonts w:cs="Arial" w:ascii="Arial" w:hAnsi="Arial"/>
          <w:i/>
          <w:iCs/>
          <w:sz w:val="8"/>
        </w:rPr>
      </w:r>
    </w:p>
    <w:p>
      <w:pPr>
        <w:pStyle w:val="Normal"/>
        <w:rPr/>
      </w:pPr>
      <w:r>
        <w:rPr>
          <w:rFonts w:cs="Arial" w:ascii="Arial" w:hAnsi="Arial"/>
          <w:i/>
          <w:iCs/>
        </w:rPr>
        <w:t xml:space="preserve">(primjenjuje se stopa PDV-a od 13%)     </w:t>
      </w:r>
    </w:p>
    <w:p>
      <w:pPr>
        <w:pStyle w:val="BodyText"/>
        <w:rPr>
          <w:rFonts w:ascii="Arial" w:hAnsi="Arial" w:cs="Arial"/>
          <w:b/>
          <w:i/>
          <w:iCs/>
        </w:rPr>
      </w:pPr>
      <w:r>
        <w:rPr>
          <w:rFonts w:cs="Arial"/>
          <w:b/>
          <w:i/>
          <w:iCs/>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i/>
        </w:rPr>
      </w:pPr>
      <w:r>
        <w:rPr>
          <w:b/>
          <w:i/>
        </w:rPr>
      </w:r>
    </w:p>
    <w:p>
      <w:pPr>
        <w:pStyle w:val="BodyText"/>
        <w:rPr>
          <w:b/>
          <w:bCs/>
          <w:i/>
          <w:iCs/>
          <w:sz w:val="36"/>
        </w:rPr>
      </w:pPr>
      <w:r>
        <w:rPr>
          <w:b/>
          <w:bCs/>
          <w:i/>
          <w:iCs/>
          <w:sz w:val="36"/>
        </w:rPr>
        <w:t>3.   OBRAZLOŽENJE CIJENE JAVNE USLUGE</w:t>
      </w:r>
    </w:p>
    <w:p>
      <w:pPr>
        <w:pStyle w:val="BodyText"/>
        <w:rPr>
          <w:b/>
          <w:bCs/>
          <w:i/>
          <w:iCs/>
          <w:sz w:val="36"/>
        </w:rPr>
      </w:pPr>
      <w:r>
        <w:rPr>
          <w:b/>
          <w:bCs/>
          <w:i/>
          <w:iCs/>
          <w:sz w:val="36"/>
        </w:rPr>
      </w:r>
    </w:p>
    <w:p>
      <w:pPr>
        <w:pStyle w:val="BodyText"/>
        <w:rPr>
          <w:b/>
          <w:i/>
        </w:rPr>
      </w:pPr>
      <w:r>
        <w:rPr>
          <w:b/>
          <w:i/>
        </w:rPr>
      </w:r>
    </w:p>
    <w:p>
      <w:pPr>
        <w:pStyle w:val="BodyText"/>
        <w:rPr>
          <w:b/>
          <w:i/>
          <w:sz w:val="36"/>
          <w:szCs w:val="36"/>
        </w:rPr>
      </w:pPr>
      <w:r>
        <w:rPr>
          <w:b/>
          <w:i/>
          <w:sz w:val="36"/>
          <w:szCs w:val="36"/>
        </w:rPr>
        <w:t>3.1. PRAVNI OKVIR</w:t>
      </w:r>
    </w:p>
    <w:p>
      <w:pPr>
        <w:pStyle w:val="BodyText"/>
        <w:rPr>
          <w:b/>
          <w:i/>
          <w:sz w:val="36"/>
          <w:szCs w:val="36"/>
        </w:rPr>
      </w:pPr>
      <w:r>
        <w:rPr>
          <w:b/>
          <w:i/>
          <w:sz w:val="36"/>
          <w:szCs w:val="36"/>
        </w:rPr>
      </w:r>
    </w:p>
    <w:p>
      <w:pPr>
        <w:pStyle w:val="BodyText"/>
        <w:rPr>
          <w:bCs/>
          <w:i/>
        </w:rPr>
      </w:pPr>
      <w:r>
        <w:rPr>
          <w:bCs/>
          <w:i/>
        </w:rPr>
        <w:t>Cijena javne usluge plaća se radi pokrića troškova pružanja javne usluge.</w:t>
      </w:r>
    </w:p>
    <w:p>
      <w:pPr>
        <w:pStyle w:val="BodyText"/>
        <w:rPr>
          <w:bCs/>
          <w:i/>
        </w:rPr>
      </w:pPr>
      <w:r>
        <w:rPr>
          <w:bCs/>
          <w:i/>
        </w:rPr>
      </w:r>
    </w:p>
    <w:p>
      <w:pPr>
        <w:pStyle w:val="BodyText"/>
        <w:rPr/>
      </w:pPr>
      <w:r>
        <w:rPr>
          <w:bCs/>
          <w:i/>
        </w:rPr>
        <w:t>Cjenik javne usluge je opći akt kojeg na temelju članka 77. stavak 1. Zakona i članka 32. Odluke o načinu pružanja javne usluge sakupljanja komunalnog otpada na području Općine Dugopolje donosi trgovačko društvo Čistoća d.o.o. Split kao davatelj javne usluge.</w:t>
      </w:r>
    </w:p>
    <w:p>
      <w:pPr>
        <w:pStyle w:val="BodyText"/>
        <w:rPr>
          <w:b/>
          <w:bCs/>
          <w:i/>
        </w:rPr>
      </w:pPr>
      <w:r>
        <w:rPr>
          <w:b/>
          <w:bCs/>
          <w:i/>
        </w:rPr>
      </w:r>
    </w:p>
    <w:p>
      <w:pPr>
        <w:pStyle w:val="BodyText"/>
        <w:rPr>
          <w:b/>
          <w:i/>
        </w:rPr>
      </w:pPr>
      <w:r>
        <w:rPr>
          <w:b/>
          <w:i/>
        </w:rPr>
      </w:r>
    </w:p>
    <w:p>
      <w:pPr>
        <w:pStyle w:val="BodyText"/>
        <w:rPr>
          <w:b/>
          <w:i/>
        </w:rPr>
      </w:pPr>
      <w:r>
        <w:rPr>
          <w:b/>
          <w:i/>
        </w:rPr>
      </w:r>
    </w:p>
    <w:p>
      <w:pPr>
        <w:pStyle w:val="BodyText"/>
        <w:rPr>
          <w:b/>
          <w:i/>
          <w:sz w:val="36"/>
          <w:szCs w:val="36"/>
        </w:rPr>
      </w:pPr>
      <w:r>
        <w:rPr>
          <w:b/>
          <w:i/>
          <w:sz w:val="36"/>
          <w:szCs w:val="36"/>
        </w:rPr>
        <w:t>3.2. KRITERIJ OBRAČUNA KOLIČINE MIJEŠANOG</w:t>
      </w:r>
    </w:p>
    <w:p>
      <w:pPr>
        <w:pStyle w:val="BodyText"/>
        <w:rPr>
          <w:b/>
          <w:i/>
          <w:sz w:val="36"/>
          <w:szCs w:val="36"/>
        </w:rPr>
      </w:pPr>
      <w:r>
        <w:rPr>
          <w:b/>
          <w:i/>
          <w:sz w:val="36"/>
          <w:szCs w:val="36"/>
        </w:rPr>
        <w:t xml:space="preserve">       </w:t>
      </w:r>
      <w:r>
        <w:rPr>
          <w:b/>
          <w:i/>
          <w:sz w:val="36"/>
          <w:szCs w:val="36"/>
        </w:rPr>
        <w:t>KOMUNALNOG OTPADA I OBRAČUNSKA</w:t>
      </w:r>
    </w:p>
    <w:p>
      <w:pPr>
        <w:pStyle w:val="BodyText"/>
        <w:rPr/>
      </w:pPr>
      <w:r>
        <w:rPr>
          <w:b/>
          <w:i/>
          <w:sz w:val="36"/>
          <w:szCs w:val="36"/>
        </w:rPr>
        <w:t xml:space="preserve">       </w:t>
      </w:r>
      <w:r>
        <w:rPr>
          <w:b/>
          <w:i/>
          <w:sz w:val="36"/>
          <w:szCs w:val="36"/>
        </w:rPr>
        <w:t>RAZDOBLJA</w:t>
      </w:r>
    </w:p>
    <w:p>
      <w:pPr>
        <w:pStyle w:val="BodyText"/>
        <w:rPr>
          <w:b/>
          <w:i/>
          <w:sz w:val="36"/>
          <w:szCs w:val="36"/>
        </w:rPr>
      </w:pPr>
      <w:r>
        <w:rPr>
          <w:b/>
          <w:i/>
          <w:sz w:val="36"/>
          <w:szCs w:val="36"/>
        </w:rPr>
      </w:r>
    </w:p>
    <w:p>
      <w:pPr>
        <w:pStyle w:val="BodyText"/>
        <w:rPr>
          <w:bCs/>
          <w:i/>
        </w:rPr>
      </w:pPr>
      <w:r>
        <w:rPr>
          <w:bCs/>
          <w:i/>
        </w:rPr>
        <w:t>Kriterij obračuna količine miješanog komunalnog otpada je volumen spremnika miješanog komunalnog otpada izražen u litrama i broj pražnjenja spremnika u obračunskom razdoblju.</w:t>
      </w:r>
    </w:p>
    <w:p>
      <w:pPr>
        <w:pStyle w:val="BodyText"/>
        <w:rPr>
          <w:bCs/>
          <w:i/>
        </w:rPr>
      </w:pPr>
      <w:r>
        <w:rPr>
          <w:bCs/>
          <w:i/>
        </w:rPr>
      </w:r>
    </w:p>
    <w:p>
      <w:pPr>
        <w:pStyle w:val="Normal"/>
        <w:rPr/>
      </w:pPr>
      <w:r>
        <w:rPr>
          <w:rFonts w:cs="Arial" w:ascii="Arial" w:hAnsi="Arial"/>
          <w:bCs/>
          <w:i/>
          <w:sz w:val="26"/>
        </w:rPr>
        <w:t>Korištenje javne usluge obračunava se za vremensko razdoblje od jednog kalendarskog mjeseca.</w:t>
      </w:r>
    </w:p>
    <w:p>
      <w:pPr>
        <w:pStyle w:val="BodyText"/>
        <w:rPr>
          <w:rFonts w:ascii="Arial" w:hAnsi="Arial" w:cs="Arial"/>
          <w:bCs/>
          <w:i/>
          <w:sz w:val="26"/>
        </w:rPr>
      </w:pPr>
      <w:r>
        <w:rPr>
          <w:rFonts w:cs="Arial"/>
          <w:bCs/>
          <w:i/>
          <w:sz w:val="26"/>
        </w:rPr>
      </w:r>
    </w:p>
    <w:p>
      <w:pPr>
        <w:pStyle w:val="BodyText"/>
        <w:rPr>
          <w:bCs/>
          <w:i/>
        </w:rPr>
      </w:pPr>
      <w:r>
        <w:rPr>
          <w:bCs/>
          <w:i/>
        </w:rPr>
      </w:r>
    </w:p>
    <w:p>
      <w:pPr>
        <w:pStyle w:val="BodyText"/>
        <w:rPr>
          <w:bCs/>
          <w:i/>
        </w:rPr>
      </w:pPr>
      <w:r>
        <w:rPr>
          <w:bCs/>
          <w:i/>
        </w:rPr>
      </w:r>
    </w:p>
    <w:p>
      <w:pPr>
        <w:pStyle w:val="BodyText"/>
        <w:rPr>
          <w:b/>
          <w:i/>
          <w:sz w:val="36"/>
          <w:szCs w:val="36"/>
        </w:rPr>
      </w:pPr>
      <w:r>
        <w:rPr>
          <w:b/>
          <w:i/>
          <w:sz w:val="36"/>
          <w:szCs w:val="36"/>
        </w:rPr>
        <w:t>3.3. STRUKTURA CIJENE JAVNE USLUGE</w:t>
      </w:r>
    </w:p>
    <w:p>
      <w:pPr>
        <w:pStyle w:val="BodyText"/>
        <w:rPr>
          <w:b/>
          <w:i/>
          <w:sz w:val="36"/>
          <w:szCs w:val="36"/>
        </w:rPr>
      </w:pPr>
      <w:r>
        <w:rPr>
          <w:b/>
          <w:i/>
          <w:sz w:val="36"/>
          <w:szCs w:val="36"/>
        </w:rPr>
      </w:r>
    </w:p>
    <w:p>
      <w:pPr>
        <w:pStyle w:val="BodyText"/>
        <w:rPr>
          <w:bCs/>
          <w:i/>
        </w:rPr>
      </w:pPr>
      <w:r>
        <w:rPr>
          <w:bCs/>
          <w:i/>
        </w:rPr>
        <w:t>Strukturu cijene javne usluge čini:</w:t>
      </w:r>
    </w:p>
    <w:p>
      <w:pPr>
        <w:pStyle w:val="BodyText"/>
        <w:rPr>
          <w:bCs/>
          <w:i/>
        </w:rPr>
      </w:pPr>
      <w:r>
        <w:rPr>
          <w:bCs/>
          <w:i/>
        </w:rPr>
      </w:r>
    </w:p>
    <w:p>
      <w:pPr>
        <w:pStyle w:val="BodyText"/>
        <w:rPr>
          <w:bCs/>
          <w:i/>
        </w:rPr>
      </w:pPr>
      <w:r>
        <w:rPr>
          <w:bCs/>
          <w:i/>
        </w:rPr>
        <w:t xml:space="preserve">- cijena obavezne minimalne javne usluge i </w:t>
      </w:r>
    </w:p>
    <w:p>
      <w:pPr>
        <w:pStyle w:val="BodyText"/>
        <w:rPr>
          <w:bCs/>
          <w:i/>
        </w:rPr>
      </w:pPr>
      <w:r>
        <w:rPr>
          <w:bCs/>
          <w:i/>
        </w:rPr>
      </w:r>
    </w:p>
    <w:p>
      <w:pPr>
        <w:pStyle w:val="BodyText"/>
        <w:rPr>
          <w:bCs/>
          <w:i/>
        </w:rPr>
      </w:pPr>
      <w:r>
        <w:rPr>
          <w:bCs/>
          <w:i/>
        </w:rPr>
        <w:t>- cijena za količinu predanog miješanog komunalno otpada.</w:t>
      </w:r>
    </w:p>
    <w:p>
      <w:pPr>
        <w:pStyle w:val="BodyText"/>
        <w:rPr>
          <w:bCs/>
          <w:i/>
        </w:rPr>
      </w:pPr>
      <w:r>
        <w:rPr>
          <w:bCs/>
          <w:i/>
        </w:rPr>
      </w:r>
    </w:p>
    <w:p>
      <w:pPr>
        <w:pStyle w:val="BodyText"/>
        <w:rPr>
          <w:bCs/>
          <w:i/>
        </w:rPr>
      </w:pPr>
      <w:r>
        <w:rPr>
          <w:bCs/>
          <w:i/>
        </w:rPr>
        <w:t>Omjer cijene za količinu predanog miješanog komunalnog otpada i cijene obavezne minimalne javne usluge u cijeni javne usluge, sukladno članku 75. stavak 5. Zakona mora biti odmjeren na način koji će osigurati obavljanje javne usluge na kvalitetan, postojan i ekonomski učinkovit način, izbjegavajući neopravdano visoke troškove, u skladu s načelima održivog razvoja, zaštite okoliša, javnost rada i onečišćivač plaća, kako bi se osiguralo i poticalo odvojeno sakupljanje otpada.</w:t>
      </w:r>
    </w:p>
    <w:p>
      <w:pPr>
        <w:pStyle w:val="BodyText"/>
        <w:rPr>
          <w:bCs/>
          <w:i/>
        </w:rPr>
      </w:pPr>
      <w:r>
        <w:rPr>
          <w:bCs/>
          <w:i/>
        </w:rPr>
      </w:r>
    </w:p>
    <w:p>
      <w:pPr>
        <w:pStyle w:val="BodyText"/>
        <w:rPr>
          <w:b/>
          <w:bCs/>
          <w:i/>
          <w:sz w:val="36"/>
          <w:szCs w:val="36"/>
        </w:rPr>
      </w:pPr>
      <w:r>
        <w:rPr>
          <w:b/>
          <w:bCs/>
          <w:i/>
          <w:sz w:val="36"/>
          <w:szCs w:val="36"/>
        </w:rPr>
      </w:r>
    </w:p>
    <w:p>
      <w:pPr>
        <w:pStyle w:val="BodyText"/>
        <w:rPr>
          <w:b/>
          <w:i/>
          <w:sz w:val="36"/>
          <w:szCs w:val="36"/>
        </w:rPr>
      </w:pPr>
      <w:r>
        <w:rPr>
          <w:b/>
          <w:i/>
          <w:sz w:val="36"/>
          <w:szCs w:val="36"/>
        </w:rPr>
      </w:r>
    </w:p>
    <w:p>
      <w:pPr>
        <w:pStyle w:val="BodyText"/>
        <w:rPr/>
      </w:pPr>
      <w:r>
        <w:rPr>
          <w:b/>
          <w:i/>
          <w:sz w:val="36"/>
          <w:szCs w:val="36"/>
        </w:rPr>
        <w:t>3.4. CIJENA OBVEZNE MINIMALNE JAVNE USLUGE</w:t>
      </w:r>
    </w:p>
    <w:p>
      <w:pPr>
        <w:pStyle w:val="BodyText"/>
        <w:rPr>
          <w:b/>
          <w:bCs/>
          <w:i/>
          <w:sz w:val="36"/>
          <w:szCs w:val="36"/>
        </w:rPr>
      </w:pPr>
      <w:r>
        <w:rPr>
          <w:b/>
          <w:bCs/>
          <w:i/>
          <w:sz w:val="36"/>
          <w:szCs w:val="36"/>
        </w:rPr>
      </w:r>
    </w:p>
    <w:p>
      <w:pPr>
        <w:pStyle w:val="BodyText"/>
        <w:rPr>
          <w:bCs/>
          <w:i/>
        </w:rPr>
      </w:pPr>
      <w:r>
        <w:rPr>
          <w:bCs/>
          <w:i/>
        </w:rPr>
      </w:r>
    </w:p>
    <w:p>
      <w:pPr>
        <w:pStyle w:val="BodyText"/>
        <w:rPr/>
      </w:pPr>
      <w:r>
        <w:rPr>
          <w:i/>
          <w:iCs/>
          <w:u w:val="single"/>
        </w:rPr>
        <w:t xml:space="preserve">Cijena obvezne minimalne javne usluge </w:t>
      </w:r>
      <w:r>
        <w:rPr>
          <w:b/>
          <w:bCs/>
          <w:i/>
          <w:iCs/>
          <w:u w:val="single"/>
        </w:rPr>
        <w:t>trenutno</w:t>
      </w:r>
      <w:r>
        <w:rPr>
          <w:i/>
          <w:iCs/>
        </w:rPr>
        <w:t xml:space="preserve"> je utvrđena člankom 42. Odluke i iznosi: </w:t>
      </w:r>
    </w:p>
    <w:p>
      <w:pPr>
        <w:pStyle w:val="BodyText"/>
        <w:rPr>
          <w:i/>
          <w:iCs/>
        </w:rPr>
      </w:pPr>
      <w:r>
        <w:rPr>
          <w:i/>
          <w:iCs/>
        </w:rPr>
      </w:r>
    </w:p>
    <w:p>
      <w:pPr>
        <w:pStyle w:val="BodyText"/>
        <w:numPr>
          <w:ilvl w:val="0"/>
          <w:numId w:val="4"/>
        </w:numPr>
        <w:rPr>
          <w:b/>
          <w:i/>
          <w:iCs/>
        </w:rPr>
      </w:pPr>
      <w:r>
        <w:rPr>
          <w:i/>
          <w:iCs/>
        </w:rPr>
        <w:t>Cijena obvezne minimalne javne usluge za korisnika kategorije kućanstvo jedinstvena je na čitavom području gradova Splita i Solina, općina Dugopolje, Klis i Podstrana, a iznosi: 3,98 eura (slovima: tri eura i devedeset osam centi) mjesečno, bez PDV-a;</w:t>
      </w:r>
    </w:p>
    <w:p>
      <w:pPr>
        <w:pStyle w:val="BodyText"/>
        <w:ind w:start="720" w:end="0"/>
        <w:rPr>
          <w:b/>
          <w:i/>
          <w:iCs/>
        </w:rPr>
      </w:pPr>
      <w:r>
        <w:rPr>
          <w:b/>
          <w:i/>
          <w:iCs/>
        </w:rPr>
      </w:r>
    </w:p>
    <w:p>
      <w:pPr>
        <w:pStyle w:val="BodyText"/>
        <w:numPr>
          <w:ilvl w:val="0"/>
          <w:numId w:val="4"/>
        </w:numPr>
        <w:rPr>
          <w:b/>
          <w:i/>
          <w:iCs/>
        </w:rPr>
      </w:pPr>
      <w:r>
        <w:rPr>
          <w:i/>
          <w:iCs/>
        </w:rPr>
        <w:t>Cijena obvezne minimalne javne usluge za korisnike koji nisu kućanstvo jedinstvena na čitavom području gradova Splita i Solina, općina Dugopolje, Klis i Podstrana, a iznosi 13,27 eura (slovima: trinaest eura i dvadeset sedam centi) mjesečno, bez PDV-a.</w:t>
      </w:r>
    </w:p>
    <w:p>
      <w:pPr>
        <w:pStyle w:val="Odlomakpopisa"/>
        <w:rPr>
          <w:b/>
          <w:i/>
          <w:iCs/>
        </w:rPr>
      </w:pPr>
      <w:r>
        <w:rPr>
          <w:b/>
          <w:i/>
          <w:iCs/>
        </w:rPr>
      </w:r>
    </w:p>
    <w:p>
      <w:pPr>
        <w:pStyle w:val="BodyText"/>
        <w:rPr>
          <w:b/>
          <w:i/>
          <w:iCs/>
        </w:rPr>
      </w:pPr>
      <w:r>
        <w:rPr>
          <w:b/>
          <w:i/>
          <w:iCs/>
        </w:rPr>
      </w:r>
    </w:p>
    <w:p>
      <w:pPr>
        <w:pStyle w:val="BodyText"/>
        <w:rPr>
          <w:b/>
          <w:i/>
          <w:iCs/>
        </w:rPr>
      </w:pPr>
      <w:r>
        <w:rPr>
          <w:b/>
          <w:i/>
          <w:iCs/>
        </w:rPr>
      </w:r>
    </w:p>
    <w:p>
      <w:pPr>
        <w:pStyle w:val="BodyText"/>
        <w:rPr>
          <w:b/>
          <w:i/>
          <w:iCs/>
        </w:rPr>
      </w:pPr>
      <w:r>
        <w:rPr>
          <w:b/>
          <w:i/>
          <w:iCs/>
        </w:rPr>
      </w:r>
    </w:p>
    <w:p>
      <w:pPr>
        <w:pStyle w:val="BodyText"/>
        <w:rPr>
          <w:b/>
          <w:i/>
          <w:iCs/>
        </w:rPr>
      </w:pPr>
      <w:r>
        <w:rPr>
          <w:b/>
          <w:i/>
          <w:iCs/>
        </w:rPr>
      </w:r>
    </w:p>
    <w:p>
      <w:pPr>
        <w:pStyle w:val="BodyText"/>
        <w:rPr>
          <w:b/>
          <w:i/>
          <w:sz w:val="36"/>
          <w:szCs w:val="36"/>
        </w:rPr>
      </w:pPr>
      <w:r>
        <w:rPr>
          <w:b/>
          <w:i/>
          <w:sz w:val="36"/>
          <w:szCs w:val="36"/>
        </w:rPr>
        <w:t>3.5. OBRAZLOŽENJE NAČINA NA KOJI JE ODREĐENA</w:t>
      </w:r>
    </w:p>
    <w:p>
      <w:pPr>
        <w:pStyle w:val="BodyText"/>
        <w:rPr>
          <w:b/>
          <w:i/>
          <w:sz w:val="36"/>
          <w:szCs w:val="36"/>
        </w:rPr>
      </w:pPr>
      <w:r>
        <w:rPr>
          <w:b/>
          <w:i/>
          <w:sz w:val="36"/>
          <w:szCs w:val="36"/>
        </w:rPr>
        <w:t xml:space="preserve">        </w:t>
      </w:r>
      <w:r>
        <w:rPr>
          <w:b/>
          <w:i/>
          <w:sz w:val="36"/>
          <w:szCs w:val="36"/>
        </w:rPr>
        <w:t>CIJENA OBVEZNE MINIMALNE JAVNE</w:t>
      </w:r>
    </w:p>
    <w:p>
      <w:pPr>
        <w:pStyle w:val="BodyText"/>
        <w:rPr>
          <w:b/>
          <w:i/>
          <w:sz w:val="36"/>
          <w:szCs w:val="36"/>
        </w:rPr>
      </w:pPr>
      <w:r>
        <w:rPr>
          <w:b/>
          <w:i/>
          <w:sz w:val="36"/>
          <w:szCs w:val="36"/>
        </w:rPr>
        <w:t xml:space="preserve">        </w:t>
      </w:r>
      <w:r>
        <w:rPr>
          <w:b/>
          <w:i/>
          <w:sz w:val="36"/>
          <w:szCs w:val="36"/>
        </w:rPr>
        <w:t>USLUGE ZA KORISNIKE IZ KATEGORIJE</w:t>
      </w:r>
    </w:p>
    <w:p>
      <w:pPr>
        <w:pStyle w:val="BodyText"/>
        <w:rPr/>
      </w:pPr>
      <w:r>
        <w:rPr>
          <w:b/>
          <w:i/>
          <w:sz w:val="36"/>
          <w:szCs w:val="36"/>
        </w:rPr>
        <w:t xml:space="preserve">        </w:t>
      </w:r>
      <w:r>
        <w:rPr>
          <w:b/>
          <w:i/>
          <w:sz w:val="36"/>
          <w:szCs w:val="36"/>
        </w:rPr>
        <w:t xml:space="preserve">KUĆANSTVA i IZ KATEGORIJE KORISNIKA KOJI </w:t>
      </w:r>
    </w:p>
    <w:p>
      <w:pPr>
        <w:pStyle w:val="BodyText"/>
        <w:rPr>
          <w:b/>
          <w:i/>
          <w:sz w:val="36"/>
          <w:szCs w:val="36"/>
        </w:rPr>
      </w:pPr>
      <w:r>
        <w:rPr>
          <w:b/>
          <w:i/>
          <w:sz w:val="36"/>
          <w:szCs w:val="36"/>
        </w:rPr>
        <w:t xml:space="preserve">        </w:t>
      </w:r>
      <w:r>
        <w:rPr>
          <w:b/>
          <w:i/>
          <w:sz w:val="36"/>
          <w:szCs w:val="36"/>
        </w:rPr>
        <w:t>NISU KUĆANSTVA</w:t>
      </w:r>
    </w:p>
    <w:p>
      <w:pPr>
        <w:pStyle w:val="BodyText"/>
        <w:rPr>
          <w:b/>
          <w:i/>
          <w:iCs/>
          <w:sz w:val="36"/>
          <w:szCs w:val="36"/>
        </w:rPr>
      </w:pPr>
      <w:r>
        <w:rPr>
          <w:b/>
          <w:i/>
          <w:iCs/>
          <w:sz w:val="36"/>
          <w:szCs w:val="36"/>
        </w:rPr>
      </w:r>
    </w:p>
    <w:p>
      <w:pPr>
        <w:pStyle w:val="BodyText"/>
        <w:rPr>
          <w:b/>
          <w:i/>
          <w:iCs/>
        </w:rPr>
      </w:pPr>
      <w:r>
        <w:rPr>
          <w:b/>
          <w:i/>
          <w:iCs/>
        </w:rPr>
      </w:r>
    </w:p>
    <w:p>
      <w:pPr>
        <w:pStyle w:val="BodyText"/>
        <w:rPr>
          <w:i/>
          <w:iCs/>
        </w:rPr>
      </w:pPr>
      <w:r>
        <w:rPr>
          <w:i/>
          <w:iCs/>
        </w:rPr>
        <w:t>Cijena obvezne minimalne javne usluge uključuje troškove obavljanja sljedećih usluga:</w:t>
      </w:r>
    </w:p>
    <w:p>
      <w:pPr>
        <w:pStyle w:val="BodyText"/>
        <w:rPr>
          <w:i/>
          <w:iCs/>
        </w:rPr>
      </w:pPr>
      <w:r>
        <w:rPr>
          <w:i/>
          <w:iCs/>
        </w:rPr>
        <w:t xml:space="preserve"> </w:t>
      </w:r>
      <w:r>
        <w:rPr>
          <w:i/>
          <w:iCs/>
        </w:rPr>
        <w:t xml:space="preserve">- sakupljanje i odvoz miješanog komunalnog otpada s obračunskog mjesta korisnika, </w:t>
      </w:r>
    </w:p>
    <w:p>
      <w:pPr>
        <w:pStyle w:val="BodyText"/>
        <w:rPr>
          <w:i/>
          <w:iCs/>
        </w:rPr>
      </w:pPr>
      <w:r>
        <w:rPr>
          <w:i/>
          <w:iCs/>
        </w:rPr>
        <w:t>- sakupljanje i odvoz biorazgradivog komunalnog otpada s obračunskog mjesta korisnika,</w:t>
      </w:r>
    </w:p>
    <w:p>
      <w:pPr>
        <w:pStyle w:val="BodyText"/>
        <w:rPr/>
      </w:pPr>
      <w:r>
        <w:rPr>
          <w:i/>
          <w:iCs/>
        </w:rPr>
        <w:t xml:space="preserve"> </w:t>
      </w:r>
      <w:r>
        <w:rPr>
          <w:i/>
          <w:iCs/>
        </w:rPr>
        <w:t xml:space="preserve">- sakupljanje i odvoz reciklabilnog komunalnog otpada s obračunskog mjesta korisnika, </w:t>
      </w:r>
    </w:p>
    <w:p>
      <w:pPr>
        <w:pStyle w:val="BodyText"/>
        <w:rPr>
          <w:i/>
          <w:iCs/>
        </w:rPr>
      </w:pPr>
      <w:r>
        <w:rPr>
          <w:i/>
          <w:iCs/>
        </w:rPr>
        <w:t xml:space="preserve">- sakupljanje i odvoz glomaznog (krupnog) komunalnog otpada jednom godišnje (samo za korisnike kategorije kućanstvo) s obračunskog mjesta korisnika, </w:t>
      </w:r>
    </w:p>
    <w:p>
      <w:pPr>
        <w:pStyle w:val="BodyText"/>
        <w:rPr>
          <w:i/>
          <w:iCs/>
        </w:rPr>
      </w:pPr>
      <w:r>
        <w:rPr>
          <w:i/>
          <w:iCs/>
        </w:rPr>
        <w:t xml:space="preserve">- preuzimanje komunalnog otpada u reciklažnim dvorištima (samo za korisnike kategorije kućanstvo), </w:t>
      </w:r>
    </w:p>
    <w:p>
      <w:pPr>
        <w:pStyle w:val="BodyText"/>
        <w:rPr>
          <w:b/>
          <w:i/>
          <w:iCs/>
        </w:rPr>
      </w:pPr>
      <w:r>
        <w:rPr>
          <w:i/>
          <w:iCs/>
        </w:rPr>
        <w:t>- predaja reciklabilnog i biorazgradivog komunalnog otpada na zbrinjavanje ovlaštenim osobama.</w:t>
      </w:r>
    </w:p>
    <w:p>
      <w:pPr>
        <w:pStyle w:val="BodyText"/>
        <w:rPr>
          <w:b/>
          <w:i/>
          <w:iCs/>
        </w:rPr>
      </w:pPr>
      <w:r>
        <w:rPr>
          <w:b/>
          <w:i/>
          <w:iCs/>
        </w:rPr>
      </w:r>
    </w:p>
    <w:p>
      <w:pPr>
        <w:pStyle w:val="BodyText"/>
        <w:rPr>
          <w:b/>
          <w:i/>
          <w:iCs/>
        </w:rPr>
      </w:pPr>
      <w:r>
        <w:rPr>
          <w:b/>
          <w:i/>
          <w:iCs/>
        </w:rPr>
      </w:r>
    </w:p>
    <w:p>
      <w:pPr>
        <w:pStyle w:val="BodyText"/>
        <w:rPr>
          <w:b/>
          <w:i/>
          <w:iCs/>
        </w:rPr>
      </w:pPr>
      <w:r>
        <w:rPr>
          <w:b/>
          <w:i/>
          <w:iCs/>
        </w:rPr>
      </w:r>
    </w:p>
    <w:p>
      <w:pPr>
        <w:pStyle w:val="BodyText"/>
        <w:rPr>
          <w:b/>
          <w:i/>
          <w:iCs/>
        </w:rPr>
      </w:pPr>
      <w:r>
        <w:rPr>
          <w:b/>
          <w:i/>
          <w:iCs/>
        </w:rPr>
      </w:r>
    </w:p>
    <w:p>
      <w:pPr>
        <w:pStyle w:val="BodyText"/>
        <w:rPr>
          <w:i/>
          <w:iCs/>
        </w:rPr>
      </w:pPr>
      <w:r>
        <w:rPr>
          <w:i/>
          <w:iCs/>
        </w:rPr>
        <w:t xml:space="preserve">Trošak pružanja navedenih usluga obuhvaća: </w:t>
      </w:r>
    </w:p>
    <w:p>
      <w:pPr>
        <w:pStyle w:val="BodyText"/>
        <w:rPr/>
      </w:pPr>
      <w:r>
        <w:rPr>
          <w:i/>
          <w:iCs/>
        </w:rPr>
        <w:t xml:space="preserve">- materijalne troškove (osnovni i uredski materijal, električnu energiju, gorivo, mazivo, sitni inventar, auto gume i slično), </w:t>
      </w:r>
    </w:p>
    <w:p>
      <w:pPr>
        <w:pStyle w:val="BodyText"/>
        <w:rPr>
          <w:i/>
          <w:iCs/>
        </w:rPr>
      </w:pPr>
      <w:r>
        <w:rPr>
          <w:i/>
          <w:iCs/>
        </w:rPr>
        <w:t>- troškove vanjskih usluga (poštarine, telekomunikacije, tekuće održavanje, najam prostora i opreme, režijski troškovi, financijski rashodi, premije osiguranja, registracija i tehnički pregled i slično)</w:t>
      </w:r>
    </w:p>
    <w:p>
      <w:pPr>
        <w:pStyle w:val="BodyText"/>
        <w:rPr>
          <w:i/>
          <w:iCs/>
        </w:rPr>
      </w:pPr>
      <w:r>
        <w:rPr>
          <w:i/>
          <w:iCs/>
        </w:rPr>
        <w:t xml:space="preserve"> </w:t>
      </w:r>
      <w:r>
        <w:rPr>
          <w:i/>
          <w:iCs/>
        </w:rPr>
        <w:t xml:space="preserve">- nematerijalne troškove (prijevoz radnika, nagrade, otpremnine, pomoći), </w:t>
      </w:r>
    </w:p>
    <w:p>
      <w:pPr>
        <w:pStyle w:val="BodyText"/>
        <w:rPr>
          <w:i/>
          <w:iCs/>
        </w:rPr>
      </w:pPr>
      <w:r>
        <w:rPr>
          <w:i/>
          <w:iCs/>
        </w:rPr>
        <w:t xml:space="preserve">- trošak amortizacije, trošak nabave opreme za prikupljanje otpada, troškove vođenja evidencija i troškove plaća radnika (drastično povećanje radnika je bilo nužno kao bi se proveo sustav „od vrata do vrata“ koji nalaže Zakon). </w:t>
      </w:r>
    </w:p>
    <w:p>
      <w:pPr>
        <w:pStyle w:val="BodyText"/>
        <w:rPr>
          <w:i/>
          <w:iCs/>
        </w:rPr>
      </w:pPr>
      <w:r>
        <w:rPr>
          <w:i/>
          <w:iCs/>
        </w:rPr>
      </w:r>
    </w:p>
    <w:p>
      <w:pPr>
        <w:pStyle w:val="BodyText"/>
        <w:rPr>
          <w:b/>
          <w:i/>
          <w:iCs/>
        </w:rPr>
      </w:pPr>
      <w:r>
        <w:rPr>
          <w:i/>
          <w:iCs/>
        </w:rPr>
        <w:t>Cijena je određena kao ukupni trošak provedbe navedenih usluga podijeljen sa brojem korisnika minimalne javne usluge.</w:t>
      </w:r>
    </w:p>
    <w:p>
      <w:pPr>
        <w:pStyle w:val="BodyText"/>
        <w:rPr>
          <w:b/>
          <w:i/>
          <w:iCs/>
        </w:rPr>
      </w:pPr>
      <w:r>
        <w:rPr>
          <w:b/>
          <w:i/>
          <w:iCs/>
        </w:rPr>
      </w:r>
    </w:p>
    <w:p>
      <w:pPr>
        <w:pStyle w:val="BodyText"/>
        <w:rPr/>
      </w:pPr>
      <w:r>
        <w:rPr>
          <w:b/>
          <w:i/>
        </w:rPr>
        <w:t>Sukladno članku 80. Zakona o gospodarenju otpadom (NN broj 84/21, 142/23) davatelj usluge je dužan iz cijene javne usluge gospodarenja miješanim komunalnim otpadom financirati sljedeće troškove:</w:t>
      </w:r>
    </w:p>
    <w:p>
      <w:pPr>
        <w:pStyle w:val="BodyText"/>
        <w:rPr>
          <w:b/>
          <w:i/>
        </w:rPr>
      </w:pPr>
      <w:r>
        <w:rPr>
          <w:b/>
          <w:i/>
        </w:rPr>
      </w:r>
    </w:p>
    <w:p>
      <w:pPr>
        <w:pStyle w:val="BodyText"/>
        <w:rPr>
          <w:b/>
          <w:i/>
        </w:rPr>
      </w:pPr>
      <w:r>
        <w:rPr>
          <w:b/>
          <w:i/>
        </w:rPr>
        <w:t>-</w:t>
        <w:tab/>
        <w:t>troškovi nabave i održavanja opreme za prikupljanje otpada</w:t>
      </w:r>
    </w:p>
    <w:p>
      <w:pPr>
        <w:pStyle w:val="BodyText"/>
        <w:rPr>
          <w:b/>
          <w:i/>
        </w:rPr>
      </w:pPr>
      <w:r>
        <w:rPr>
          <w:b/>
          <w:i/>
        </w:rPr>
        <w:t>-</w:t>
        <w:tab/>
        <w:t>troškovi prijevoza otpada</w:t>
      </w:r>
    </w:p>
    <w:p>
      <w:pPr>
        <w:pStyle w:val="BodyText"/>
        <w:rPr>
          <w:b/>
          <w:i/>
        </w:rPr>
      </w:pPr>
      <w:r>
        <w:rPr>
          <w:b/>
          <w:i/>
        </w:rPr>
        <w:t>-</w:t>
        <w:tab/>
        <w:t>troškovi obrade otpada miješanog komunalnog otpada i biootpada</w:t>
      </w:r>
    </w:p>
    <w:p>
      <w:pPr>
        <w:pStyle w:val="BodyText"/>
        <w:rPr>
          <w:b/>
          <w:i/>
        </w:rPr>
      </w:pPr>
      <w:r>
        <w:rPr>
          <w:b/>
          <w:i/>
        </w:rPr>
        <w:t>-</w:t>
        <w:tab/>
        <w:t xml:space="preserve">troškove koji su nastali radom reciklažnog dvorišta i mobilnog </w:t>
      </w:r>
    </w:p>
    <w:p>
      <w:pPr>
        <w:pStyle w:val="BodyText"/>
        <w:rPr>
          <w:b/>
          <w:i/>
        </w:rPr>
      </w:pPr>
      <w:r>
        <w:rPr>
          <w:b/>
          <w:i/>
        </w:rPr>
        <w:t xml:space="preserve">          </w:t>
      </w:r>
      <w:r>
        <w:rPr>
          <w:b/>
          <w:i/>
        </w:rPr>
        <w:t xml:space="preserve">reciklažnog dvorišta zaprimanjem bez naknade otpada nastalog u </w:t>
      </w:r>
    </w:p>
    <w:p>
      <w:pPr>
        <w:pStyle w:val="BodyText"/>
        <w:rPr>
          <w:b/>
          <w:i/>
        </w:rPr>
      </w:pPr>
      <w:r>
        <w:rPr>
          <w:b/>
          <w:i/>
        </w:rPr>
        <w:t xml:space="preserve">          </w:t>
      </w:r>
      <w:r>
        <w:rPr>
          <w:b/>
          <w:i/>
        </w:rPr>
        <w:t xml:space="preserve">kućanstvu na području jedinice lokalne samouprave za koje je </w:t>
      </w:r>
    </w:p>
    <w:p>
      <w:pPr>
        <w:pStyle w:val="BodyText"/>
        <w:rPr>
          <w:b/>
          <w:i/>
        </w:rPr>
      </w:pPr>
      <w:r>
        <w:rPr>
          <w:b/>
          <w:i/>
        </w:rPr>
        <w:t xml:space="preserve">          </w:t>
      </w:r>
      <w:r>
        <w:rPr>
          <w:b/>
          <w:i/>
        </w:rPr>
        <w:t>uspostavljeno reciklažno dvorište</w:t>
      </w:r>
    </w:p>
    <w:p>
      <w:pPr>
        <w:pStyle w:val="BodyText"/>
        <w:rPr>
          <w:b/>
          <w:i/>
        </w:rPr>
      </w:pPr>
      <w:r>
        <w:rPr>
          <w:b/>
          <w:i/>
        </w:rPr>
        <w:t>-</w:t>
        <w:tab/>
        <w:t>troškovi prijevoza i obrade glomaznog otpada u okviru javne usluge</w:t>
      </w:r>
    </w:p>
    <w:p>
      <w:pPr>
        <w:pStyle w:val="BodyText"/>
        <w:rPr/>
      </w:pPr>
      <w:r>
        <w:rPr>
          <w:b/>
          <w:i/>
        </w:rPr>
        <w:t>-</w:t>
        <w:tab/>
        <w:t xml:space="preserve">troškove vođenja propisanih evidencija i izvješćivanja u svezi s javnom </w:t>
      </w:r>
    </w:p>
    <w:p>
      <w:pPr>
        <w:pStyle w:val="BodyText"/>
        <w:rPr>
          <w:b/>
          <w:i/>
        </w:rPr>
      </w:pPr>
      <w:r>
        <w:rPr>
          <w:b/>
          <w:i/>
        </w:rPr>
        <w:t xml:space="preserve">          </w:t>
      </w:r>
      <w:r>
        <w:rPr>
          <w:b/>
          <w:i/>
        </w:rPr>
        <w:t>uslugom</w:t>
      </w:r>
    </w:p>
    <w:p>
      <w:pPr>
        <w:pStyle w:val="BodyText"/>
        <w:rPr>
          <w:b/>
          <w:i/>
        </w:rPr>
      </w:pPr>
      <w:r>
        <w:rPr>
          <w:b/>
          <w:i/>
        </w:rPr>
      </w:r>
    </w:p>
    <w:p>
      <w:pPr>
        <w:pStyle w:val="BodyText"/>
        <w:rPr>
          <w:i/>
        </w:rPr>
      </w:pPr>
      <w:bookmarkEnd w:id="0"/>
      <w:r>
        <w:rPr>
          <w:i/>
        </w:rPr>
        <w:t xml:space="preserve">Treba naglasiti da </w:t>
      </w:r>
      <w:r>
        <w:rPr/>
        <w:t xml:space="preserve"> </w:t>
      </w:r>
      <w:r>
        <w:rPr>
          <w:i/>
        </w:rPr>
        <w:t>Čistoća d.o.o. Split</w:t>
      </w:r>
      <w:r>
        <w:rPr/>
        <w:t xml:space="preserve"> </w:t>
      </w:r>
      <w:r>
        <w:rPr>
          <w:i/>
        </w:rPr>
        <w:t>već dugi niz godina drži cijenu među najnižima u Hrvatskoj, što je bilo moguće ostvariti samo krajnjim rezanjem troškova, potpunom koordinacijom ljudskih i materijalnih resursa, novim tehnologijama odvoza i slično. Unatoč svemu navedenom s trenutnom cijenom je poslovanje postalo neodrživo.</w:t>
      </w:r>
    </w:p>
    <w:p>
      <w:pPr>
        <w:pStyle w:val="BodyText"/>
        <w:rPr>
          <w:i/>
        </w:rPr>
      </w:pPr>
      <w:r>
        <w:rPr>
          <w:i/>
        </w:rPr>
      </w:r>
    </w:p>
    <w:p>
      <w:pPr>
        <w:pStyle w:val="BodyText"/>
        <w:rPr>
          <w:i/>
        </w:rPr>
      </w:pPr>
      <w:r>
        <w:rPr>
          <w:i/>
        </w:rPr>
        <w:t>Aktivnosti koje nam donosi Zakon o gospodarenju otpadom i podizanje usluge na viši nivo osim same infrastrukture koja je najveći trošak (čipiranje i barkodiranje (označavanje) spremnika, opremanje specijalnih radnih vozila, nabavka specijalnih radnih vozila za prijevoz otpada, dovršavanje postupka uvođenja evidencije odvoza, dovršavanje postavljanja polupodzemnih spremnika, zaključavanje spremnika i postavljanje mjerača otpada, veliku pažnju će se morati usmjeriti na povećanje postotka odvajanja reciklabilnog i biootpada.</w:t>
      </w:r>
    </w:p>
    <w:p>
      <w:pPr>
        <w:pStyle w:val="BodyText"/>
        <w:rPr>
          <w:i/>
        </w:rPr>
      </w:pPr>
      <w:r>
        <w:rPr>
          <w:i/>
        </w:rPr>
      </w:r>
    </w:p>
    <w:p>
      <w:pPr>
        <w:pStyle w:val="BodyText"/>
        <w:rPr>
          <w:i/>
        </w:rPr>
      </w:pPr>
      <w:r>
        <w:rPr>
          <w:i/>
        </w:rPr>
        <w:t>Posebna napomena se odnosi na troškove Naknade za odlaganje otpada koje je Čistoća d.o.o. Split obveznik kao upravitelj deponija</w:t>
      </w:r>
      <w:r>
        <w:rPr/>
        <w:t xml:space="preserve"> </w:t>
      </w:r>
      <w:r>
        <w:rPr>
          <w:i/>
          <w:iCs/>
        </w:rPr>
        <w:t>temeljem č</w:t>
      </w:r>
      <w:r>
        <w:rPr>
          <w:i/>
        </w:rPr>
        <w:t>l.100 Zakon o gospodarenju otpadom, čl.1. Uredbe o jediničnoj naknadi za odlaganje otpada koja je na snazi od 01.01.2025. godine, a koja iznosi 30,00 eura po toni ukupno odloženog otpada na deponiju s tendencijom rasta za 5,00 eura po toni svake slijedeće godine.</w:t>
      </w:r>
    </w:p>
    <w:p>
      <w:pPr>
        <w:pStyle w:val="BodyText"/>
        <w:rPr>
          <w:i/>
        </w:rPr>
      </w:pPr>
      <w:r>
        <w:rPr>
          <w:i/>
        </w:rPr>
      </w:r>
    </w:p>
    <w:p>
      <w:pPr>
        <w:pStyle w:val="BodyText"/>
        <w:rPr>
          <w:i/>
        </w:rPr>
      </w:pPr>
      <w:r>
        <w:rPr>
          <w:i/>
        </w:rPr>
        <w:t>Isto tako jako važna činjenica je situacija sa zatvaranjem odlagališta Karepovac koja je sve bliže, te je neminovno pripremanje i nabavka opreme za situaciju prevoženja otpada na druge lokacije.</w:t>
      </w:r>
    </w:p>
    <w:p>
      <w:pPr>
        <w:pStyle w:val="BodyText"/>
        <w:rPr>
          <w:i/>
        </w:rPr>
      </w:pPr>
      <w:r>
        <w:rPr>
          <w:i/>
        </w:rPr>
      </w:r>
    </w:p>
    <w:p>
      <w:pPr>
        <w:pStyle w:val="BodyText"/>
        <w:rPr>
          <w:i/>
        </w:rPr>
      </w:pPr>
      <w:r>
        <w:rPr>
          <w:i/>
        </w:rPr>
      </w:r>
    </w:p>
    <w:p>
      <w:pPr>
        <w:pStyle w:val="BodyText"/>
        <w:rPr>
          <w:i/>
        </w:rPr>
      </w:pPr>
      <w:r>
        <w:rPr>
          <w:i/>
        </w:rPr>
        <w:t>Sve to neminovno traži ispravke</w:t>
      </w:r>
      <w:r>
        <w:rPr/>
        <w:t xml:space="preserve"> </w:t>
      </w:r>
      <w:r>
        <w:rPr>
          <w:i/>
        </w:rPr>
        <w:t>pojedinih elemenata kalkulacije uslijed novih odnosa prihoda i rashoda službe, što se prije svega odnosi na sve stavke troškova.</w:t>
      </w:r>
    </w:p>
    <w:p>
      <w:pPr>
        <w:pStyle w:val="BodyText"/>
        <w:rPr>
          <w:i/>
          <w:sz w:val="16"/>
        </w:rPr>
      </w:pPr>
      <w:r>
        <w:rPr>
          <w:i/>
          <w:sz w:val="16"/>
        </w:rPr>
      </w:r>
    </w:p>
    <w:p>
      <w:pPr>
        <w:pStyle w:val="BodyText"/>
        <w:rPr>
          <w:sz w:val="16"/>
        </w:rPr>
      </w:pPr>
      <w:r>
        <w:rPr>
          <w:sz w:val="16"/>
        </w:rPr>
      </w:r>
    </w:p>
    <w:p>
      <w:pPr>
        <w:pStyle w:val="BodyText"/>
        <w:rPr>
          <w:sz w:val="16"/>
        </w:rPr>
      </w:pPr>
      <w:r>
        <w:rPr>
          <w:sz w:val="16"/>
        </w:rPr>
      </w:r>
    </w:p>
    <w:p>
      <w:pPr>
        <w:pStyle w:val="BodyText"/>
        <w:rPr>
          <w:sz w:val="16"/>
        </w:rPr>
      </w:pPr>
      <w:r>
        <w:rPr>
          <w:sz w:val="16"/>
        </w:rPr>
      </w:r>
    </w:p>
    <w:p>
      <w:pPr>
        <w:pStyle w:val="BodyText"/>
        <w:rPr/>
      </w:pPr>
      <w:r>
        <w:rPr>
          <w:i/>
        </w:rPr>
        <w:t>Dakle, bitno je za naglasiti slijedeće stavke:</w:t>
      </w:r>
    </w:p>
    <w:p>
      <w:pPr>
        <w:pStyle w:val="BodyText"/>
        <w:rPr>
          <w:i/>
          <w:sz w:val="16"/>
          <w:szCs w:val="16"/>
        </w:rPr>
      </w:pPr>
      <w:r>
        <w:rPr>
          <w:i/>
          <w:sz w:val="16"/>
          <w:szCs w:val="16"/>
        </w:rPr>
      </w:r>
    </w:p>
    <w:p>
      <w:pPr>
        <w:pStyle w:val="BodyText"/>
        <w:numPr>
          <w:ilvl w:val="0"/>
          <w:numId w:val="5"/>
        </w:numPr>
        <w:tabs>
          <w:tab w:val="clear" w:pos="708"/>
          <w:tab w:val="left" w:pos="360" w:leader="none"/>
        </w:tabs>
        <w:ind w:hanging="360" w:start="360" w:end="0"/>
        <w:rPr>
          <w:i/>
        </w:rPr>
      </w:pPr>
      <w:r>
        <w:rPr>
          <w:i/>
        </w:rPr>
        <w:t>Zakon o gospodarenju otpadom daje novu dimenziju sustavu prikupljanja komunalnog otpada, raščlanjivanja vrsta otpada, njegove strukture i postupaka s istim, što znatno utječe na troškove poslovanja poduzeća.</w:t>
      </w:r>
    </w:p>
    <w:p>
      <w:pPr>
        <w:pStyle w:val="BodyText"/>
        <w:tabs>
          <w:tab w:val="clear" w:pos="708"/>
          <w:tab w:val="left" w:pos="360" w:leader="none"/>
        </w:tabs>
        <w:ind w:hanging="360" w:start="360" w:end="0"/>
        <w:rPr>
          <w:i/>
          <w:sz w:val="8"/>
        </w:rPr>
      </w:pPr>
      <w:r>
        <w:rPr>
          <w:i/>
          <w:sz w:val="8"/>
        </w:rPr>
      </w:r>
    </w:p>
    <w:p>
      <w:pPr>
        <w:pStyle w:val="BodyText"/>
        <w:tabs>
          <w:tab w:val="clear" w:pos="708"/>
          <w:tab w:val="left" w:pos="360" w:leader="none"/>
        </w:tabs>
        <w:ind w:hanging="360" w:start="360" w:end="0"/>
        <w:rPr>
          <w:i/>
          <w:sz w:val="8"/>
        </w:rPr>
      </w:pPr>
      <w:r>
        <w:rPr>
          <w:i/>
          <w:sz w:val="8"/>
        </w:rPr>
      </w:r>
    </w:p>
    <w:p>
      <w:pPr>
        <w:pStyle w:val="BodyText"/>
        <w:tabs>
          <w:tab w:val="clear" w:pos="708"/>
          <w:tab w:val="left" w:pos="360" w:leader="none"/>
        </w:tabs>
        <w:ind w:hanging="360" w:start="360" w:end="0"/>
        <w:rPr>
          <w:i/>
          <w:sz w:val="8"/>
        </w:rPr>
      </w:pPr>
      <w:r>
        <w:rPr>
          <w:i/>
          <w:sz w:val="8"/>
        </w:rPr>
      </w:r>
    </w:p>
    <w:p>
      <w:pPr>
        <w:pStyle w:val="BodyText"/>
        <w:numPr>
          <w:ilvl w:val="0"/>
          <w:numId w:val="5"/>
        </w:numPr>
        <w:tabs>
          <w:tab w:val="clear" w:pos="708"/>
          <w:tab w:val="left" w:pos="360" w:leader="none"/>
        </w:tabs>
        <w:ind w:hanging="360" w:start="360" w:end="0"/>
        <w:rPr>
          <w:i/>
        </w:rPr>
      </w:pPr>
      <w:r>
        <w:rPr>
          <w:i/>
        </w:rPr>
        <w:t>Primjena trenutne zakonske regulative, glede odvojenog prikupljanja otpada i zaštite okoliša, Čistoću d.o.o. Split stavlja pred znatna iskušenja i povećanja troškova prikupljanja i obrade otpada, kako bi se uskladili sa standardima EU.</w:t>
      </w:r>
    </w:p>
    <w:p>
      <w:pPr>
        <w:pStyle w:val="BodyText"/>
        <w:ind w:start="360" w:end="0"/>
        <w:rPr>
          <w:i/>
        </w:rPr>
      </w:pPr>
      <w:r>
        <w:rPr>
          <w:i/>
        </w:rPr>
      </w:r>
    </w:p>
    <w:p>
      <w:pPr>
        <w:pStyle w:val="BodyText"/>
        <w:numPr>
          <w:ilvl w:val="0"/>
          <w:numId w:val="5"/>
        </w:numPr>
        <w:tabs>
          <w:tab w:val="clear" w:pos="708"/>
          <w:tab w:val="left" w:pos="360" w:leader="none"/>
        </w:tabs>
        <w:ind w:hanging="360" w:start="360" w:end="0"/>
        <w:rPr>
          <w:i/>
        </w:rPr>
      </w:pPr>
      <w:r>
        <w:rPr>
          <w:i/>
        </w:rPr>
        <w:t xml:space="preserve">Cijena usluga za kućanstva i korisnike koji nisu kućanstvo će i nakon korekcije ostati među prosječnima u RH, a ista će biti postignuta krajnjim rezanjem troškova, držanjem broja djelatnika na trenutnom optimalnom nivou i potpunom koordinacijom svih ljudskih i materijalnih potencijala Društva. </w:t>
      </w:r>
    </w:p>
    <w:p>
      <w:pPr>
        <w:pStyle w:val="BodyText"/>
        <w:tabs>
          <w:tab w:val="clear" w:pos="708"/>
          <w:tab w:val="left" w:pos="360" w:leader="none"/>
        </w:tabs>
        <w:ind w:start="360" w:end="0"/>
        <w:rPr>
          <w:i/>
        </w:rPr>
      </w:pPr>
      <w:r>
        <w:rPr>
          <w:i/>
        </w:rPr>
        <w:t>Upravo iz navedenih razloga Čistoća d.o.o. Split ima veoma visoku razinu kvalitete usluge, svakodnevni odvoz i obradu miješanog komunalnog otpada.</w:t>
      </w:r>
    </w:p>
    <w:p>
      <w:pPr>
        <w:pStyle w:val="BodyText"/>
        <w:rPr>
          <w:i/>
          <w:sz w:val="16"/>
        </w:rPr>
      </w:pPr>
      <w:r>
        <w:rPr>
          <w:i/>
          <w:sz w:val="16"/>
        </w:rPr>
      </w:r>
    </w:p>
    <w:p>
      <w:pPr>
        <w:pStyle w:val="BodyText"/>
        <w:rPr>
          <w:sz w:val="16"/>
        </w:rPr>
      </w:pPr>
      <w:r>
        <w:rPr>
          <w:sz w:val="16"/>
        </w:rPr>
      </w:r>
    </w:p>
    <w:p>
      <w:pPr>
        <w:pStyle w:val="BodyText"/>
        <w:rPr>
          <w:sz w:val="16"/>
        </w:rPr>
      </w:pPr>
      <w:r>
        <w:rPr>
          <w:sz w:val="16"/>
        </w:rPr>
      </w:r>
    </w:p>
    <w:p>
      <w:pPr>
        <w:pStyle w:val="BodyText"/>
        <w:rPr>
          <w:sz w:val="16"/>
        </w:rPr>
      </w:pPr>
      <w:r>
        <w:rPr>
          <w:sz w:val="16"/>
        </w:rPr>
      </w:r>
    </w:p>
    <w:p>
      <w:pPr>
        <w:pStyle w:val="BodyText"/>
        <w:rPr>
          <w:b/>
          <w:bCs/>
          <w:i/>
          <w:iCs/>
          <w:sz w:val="28"/>
          <w:szCs w:val="28"/>
        </w:rPr>
      </w:pPr>
      <w:r>
        <w:rPr>
          <w:b/>
          <w:bCs/>
          <w:i/>
          <w:iCs/>
          <w:sz w:val="28"/>
          <w:szCs w:val="28"/>
        </w:rPr>
      </w:r>
    </w:p>
    <w:p>
      <w:pPr>
        <w:pStyle w:val="BodyText"/>
        <w:rPr>
          <w:b/>
          <w:bCs/>
          <w:i/>
          <w:iCs/>
          <w:sz w:val="28"/>
          <w:szCs w:val="28"/>
        </w:rPr>
      </w:pPr>
      <w:r>
        <w:rPr>
          <w:b/>
          <w:bCs/>
          <w:i/>
          <w:iCs/>
          <w:sz w:val="28"/>
          <w:szCs w:val="28"/>
        </w:rPr>
      </w:r>
    </w:p>
    <w:p>
      <w:pPr>
        <w:pStyle w:val="BodyText"/>
        <w:rPr>
          <w:b/>
          <w:bCs/>
          <w:i/>
          <w:iCs/>
          <w:sz w:val="28"/>
          <w:szCs w:val="28"/>
        </w:rPr>
      </w:pPr>
      <w:r>
        <w:rPr>
          <w:b/>
          <w:bCs/>
          <w:i/>
          <w:iCs/>
          <w:sz w:val="28"/>
          <w:szCs w:val="28"/>
        </w:rPr>
      </w:r>
    </w:p>
    <w:p>
      <w:pPr>
        <w:pStyle w:val="BodyText"/>
        <w:rPr>
          <w:b/>
          <w:bCs/>
          <w:i/>
          <w:iCs/>
          <w:sz w:val="28"/>
          <w:szCs w:val="28"/>
        </w:rPr>
      </w:pPr>
      <w:r>
        <w:rPr>
          <w:b/>
          <w:bCs/>
          <w:i/>
          <w:iCs/>
          <w:sz w:val="28"/>
          <w:szCs w:val="28"/>
        </w:rPr>
      </w:r>
    </w:p>
    <w:p>
      <w:pPr>
        <w:pStyle w:val="BodyText"/>
        <w:rPr>
          <w:b/>
          <w:bCs/>
          <w:i/>
          <w:iCs/>
          <w:sz w:val="28"/>
          <w:szCs w:val="28"/>
        </w:rPr>
      </w:pPr>
      <w:r>
        <w:rPr>
          <w:b/>
          <w:bCs/>
          <w:i/>
          <w:iCs/>
          <w:sz w:val="28"/>
          <w:szCs w:val="28"/>
        </w:rPr>
      </w:r>
    </w:p>
    <w:p>
      <w:pPr>
        <w:pStyle w:val="BodyText"/>
        <w:rPr>
          <w:b/>
          <w:bCs/>
          <w:i/>
          <w:iCs/>
          <w:sz w:val="28"/>
          <w:szCs w:val="28"/>
        </w:rPr>
      </w:pPr>
      <w:r>
        <w:rPr>
          <w:b/>
          <w:bCs/>
          <w:i/>
          <w:iCs/>
          <w:sz w:val="28"/>
          <w:szCs w:val="28"/>
        </w:rPr>
      </w:r>
    </w:p>
    <w:p>
      <w:pPr>
        <w:pStyle w:val="BodyText"/>
        <w:rPr>
          <w:b/>
          <w:bCs/>
          <w:i/>
          <w:iCs/>
          <w:sz w:val="28"/>
          <w:szCs w:val="28"/>
        </w:rPr>
      </w:pPr>
      <w:r>
        <w:rPr>
          <w:b/>
          <w:bCs/>
          <w:i/>
          <w:iCs/>
          <w:sz w:val="28"/>
          <w:szCs w:val="28"/>
        </w:rPr>
      </w:r>
    </w:p>
    <w:p>
      <w:pPr>
        <w:pStyle w:val="BodyText"/>
        <w:rPr>
          <w:b/>
          <w:bCs/>
          <w:i/>
          <w:iCs/>
          <w:sz w:val="28"/>
          <w:szCs w:val="28"/>
        </w:rPr>
      </w:pPr>
      <w:r>
        <w:rPr>
          <w:b/>
          <w:bCs/>
          <w:i/>
          <w:iCs/>
          <w:sz w:val="28"/>
          <w:szCs w:val="28"/>
        </w:rPr>
      </w:r>
    </w:p>
    <w:p>
      <w:pPr>
        <w:pStyle w:val="BodyText"/>
        <w:rPr>
          <w:b/>
          <w:bCs/>
          <w:i/>
          <w:iCs/>
          <w:sz w:val="28"/>
          <w:szCs w:val="28"/>
        </w:rPr>
      </w:pPr>
      <w:r>
        <w:rPr>
          <w:b/>
          <w:bCs/>
          <w:i/>
          <w:iCs/>
          <w:sz w:val="28"/>
          <w:szCs w:val="28"/>
        </w:rPr>
      </w:r>
    </w:p>
    <w:p>
      <w:pPr>
        <w:pStyle w:val="BodyText"/>
        <w:rPr>
          <w:b/>
          <w:bCs/>
          <w:i/>
          <w:iCs/>
          <w:sz w:val="28"/>
          <w:szCs w:val="28"/>
        </w:rPr>
      </w:pPr>
      <w:r>
        <w:rPr>
          <w:b/>
          <w:bCs/>
          <w:i/>
          <w:iCs/>
          <w:sz w:val="28"/>
          <w:szCs w:val="28"/>
        </w:rPr>
      </w:r>
    </w:p>
    <w:p>
      <w:pPr>
        <w:pStyle w:val="BodyText"/>
        <w:rPr>
          <w:b/>
          <w:bCs/>
          <w:i/>
          <w:iCs/>
          <w:sz w:val="28"/>
          <w:szCs w:val="28"/>
        </w:rPr>
      </w:pPr>
      <w:r>
        <w:rPr>
          <w:b/>
          <w:bCs/>
          <w:i/>
          <w:iCs/>
          <w:sz w:val="28"/>
          <w:szCs w:val="28"/>
        </w:rPr>
      </w:r>
    </w:p>
    <w:p>
      <w:pPr>
        <w:pStyle w:val="BodyText"/>
        <w:rPr>
          <w:b/>
          <w:bCs/>
          <w:i/>
          <w:iCs/>
          <w:sz w:val="28"/>
          <w:szCs w:val="28"/>
        </w:rPr>
      </w:pPr>
      <w:r>
        <w:rPr>
          <w:b/>
          <w:bCs/>
          <w:i/>
          <w:iCs/>
          <w:sz w:val="28"/>
          <w:szCs w:val="28"/>
        </w:rPr>
      </w:r>
    </w:p>
    <w:p>
      <w:pPr>
        <w:pStyle w:val="BodyText"/>
        <w:rPr>
          <w:b/>
          <w:bCs/>
          <w:i/>
          <w:iCs/>
          <w:sz w:val="28"/>
          <w:szCs w:val="28"/>
        </w:rPr>
      </w:pPr>
      <w:r>
        <w:rPr>
          <w:b/>
          <w:bCs/>
          <w:i/>
          <w:iCs/>
          <w:sz w:val="28"/>
          <w:szCs w:val="28"/>
        </w:rPr>
      </w:r>
    </w:p>
    <w:p>
      <w:pPr>
        <w:pStyle w:val="BodyText"/>
        <w:rPr>
          <w:sz w:val="32"/>
          <w:szCs w:val="32"/>
        </w:rPr>
      </w:pPr>
      <w:r>
        <w:rPr>
          <w:b/>
          <w:bCs/>
          <w:i/>
          <w:iCs/>
          <w:sz w:val="28"/>
          <w:szCs w:val="28"/>
        </w:rPr>
        <w:t xml:space="preserve">PRIKAZ ODNOSA TROŠKOVA I PRIHODA, TE GUBITKA U 2025. GODINI  </w:t>
      </w:r>
      <w:r>
        <w:rPr>
          <w:sz w:val="32"/>
          <w:szCs w:val="32"/>
          <w:lang w:val="en-US" w:eastAsia="en-US"/>
        </w:rPr>
        <w:drawing>
          <wp:inline distT="0" distB="0" distL="0" distR="0">
            <wp:extent cx="4717415" cy="141605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rcRect l="-6" t="-25" r="-6" b="-25"/>
                    <a:stretch>
                      <a:fillRect/>
                    </a:stretch>
                  </pic:blipFill>
                  <pic:spPr bwMode="auto">
                    <a:xfrm>
                      <a:off x="0" y="0"/>
                      <a:ext cx="4717415" cy="1416050"/>
                    </a:xfrm>
                    <a:prstGeom prst="rect">
                      <a:avLst/>
                    </a:prstGeom>
                    <a:noFill/>
                  </pic:spPr>
                </pic:pic>
              </a:graphicData>
            </a:graphic>
          </wp:inline>
        </w:drawing>
      </w:r>
    </w:p>
    <w:p>
      <w:pPr>
        <w:pStyle w:val="Normal"/>
        <w:rPr/>
      </w:pPr>
      <w:r>
        <w:rPr>
          <w:sz w:val="32"/>
          <w:szCs w:val="32"/>
        </w:rPr>
        <w:t>*</w:t>
      </w:r>
      <w:r>
        <w:rPr>
          <w:rFonts w:cs="Arial" w:ascii="Arial" w:hAnsi="Arial"/>
          <w:b/>
          <w:bCs/>
          <w:i/>
          <w:iCs/>
          <w:sz w:val="32"/>
          <w:szCs w:val="32"/>
          <w:lang w:val="en-GB"/>
        </w:rPr>
        <w:t xml:space="preserve"> </w:t>
      </w:r>
      <w:r>
        <w:rPr>
          <w:rFonts w:cs="Arial" w:ascii="Arial" w:hAnsi="Arial"/>
          <w:i/>
          <w:iCs/>
          <w:lang w:val="en-GB"/>
        </w:rPr>
        <w:t>temeljem Mjera Vlade RH za zaštitu kućanstava i gospodarstva od rasta cijena - jedinična naknade za odlaganje otpada (23.03.2026.godine) je UVJETNO smanjena na 15,00 eura po toni samo za 2025. godinu, s tim da će razlika od 1.700.000,00 eura biti zadužena dodatno u 2026. godini ukoliko se kroz 2026. godinu ne smanji količina otpada koja se odlaže na odlagalištu za 10%.</w:t>
      </w:r>
    </w:p>
    <w:p>
      <w:pPr>
        <w:pStyle w:val="BodyText"/>
        <w:rPr>
          <w:rFonts w:ascii="Arial" w:hAnsi="Arial" w:cs="Arial"/>
          <w:i/>
          <w:iCs/>
          <w:sz w:val="24"/>
          <w:lang w:val="en-GB"/>
        </w:rPr>
      </w:pPr>
      <w:r>
        <w:rPr>
          <w:rFonts w:cs="Arial"/>
          <w:i/>
          <w:iCs/>
          <w:sz w:val="24"/>
          <w:lang w:val="en-GB"/>
        </w:rPr>
      </w:r>
    </w:p>
    <w:p>
      <w:pPr>
        <w:pStyle w:val="BodyText"/>
        <w:rPr>
          <w:sz w:val="24"/>
        </w:rPr>
      </w:pPr>
      <w:r>
        <w:rPr>
          <w:sz w:val="24"/>
        </w:rPr>
      </w:r>
    </w:p>
    <w:p>
      <w:pPr>
        <w:pStyle w:val="BodyText"/>
        <w:rPr>
          <w:sz w:val="24"/>
        </w:rPr>
      </w:pPr>
      <w:r>
        <w:rPr>
          <w:sz w:val="24"/>
        </w:rPr>
      </w:r>
    </w:p>
    <w:p>
      <w:pPr>
        <w:pStyle w:val="BodyText"/>
        <w:rPr>
          <w:sz w:val="24"/>
        </w:rPr>
      </w:pPr>
      <w:r>
        <w:rPr>
          <w:sz w:val="24"/>
        </w:rPr>
      </w:r>
    </w:p>
    <w:p>
      <w:pPr>
        <w:pStyle w:val="BodyText"/>
        <w:rPr/>
      </w:pPr>
      <w:r>
        <w:rPr>
          <w:b/>
          <w:bCs/>
          <w:i/>
          <w:iCs/>
          <w:sz w:val="28"/>
          <w:szCs w:val="28"/>
        </w:rPr>
        <w:t>PRIKAZ ODNOSA TROŠKOVA I PRIHODA, TE GUBITKA ZA RAZDOBLJE I.-III. 2026. GODINE</w:t>
      </w:r>
    </w:p>
    <w:p>
      <w:pPr>
        <w:pStyle w:val="BodyText"/>
        <w:rPr>
          <w:sz w:val="24"/>
        </w:rPr>
      </w:pPr>
      <w:r>
        <w:rPr/>
        <w:drawing>
          <wp:inline distT="0" distB="0" distL="0" distR="0">
            <wp:extent cx="4749165" cy="134112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rcRect l="-7" t="-24" r="-7" b="-24"/>
                    <a:stretch>
                      <a:fillRect/>
                    </a:stretch>
                  </pic:blipFill>
                  <pic:spPr bwMode="auto">
                    <a:xfrm>
                      <a:off x="0" y="0"/>
                      <a:ext cx="4749165" cy="1341120"/>
                    </a:xfrm>
                    <a:prstGeom prst="rect">
                      <a:avLst/>
                    </a:prstGeom>
                    <a:noFill/>
                  </pic:spPr>
                </pic:pic>
              </a:graphicData>
            </a:graphic>
          </wp:inline>
        </w:drawing>
      </w:r>
    </w:p>
    <w:p>
      <w:pPr>
        <w:pStyle w:val="Normal"/>
        <w:rPr>
          <w:rFonts w:ascii="Arial" w:hAnsi="Arial" w:cs="Arial"/>
          <w:i/>
          <w:sz w:val="26"/>
        </w:rPr>
      </w:pPr>
      <w:r>
        <w:rPr>
          <w:rFonts w:cs="Arial" w:ascii="Arial" w:hAnsi="Arial"/>
          <w:i/>
          <w:sz w:val="26"/>
        </w:rPr>
      </w:r>
    </w:p>
    <w:p>
      <w:pPr>
        <w:pStyle w:val="Normal"/>
        <w:rPr>
          <w:sz w:val="26"/>
        </w:rPr>
      </w:pPr>
      <w:r>
        <w:rPr>
          <w:rFonts w:cs="Arial" w:ascii="Arial" w:hAnsi="Arial"/>
          <w:i/>
          <w:sz w:val="26"/>
        </w:rPr>
        <w:t>Iz gore navedenoga je vidljivo</w:t>
      </w:r>
      <w:r>
        <w:rPr>
          <w:sz w:val="26"/>
        </w:rPr>
        <w:t xml:space="preserve"> </w:t>
      </w:r>
      <w:r>
        <w:rPr>
          <w:rFonts w:cs="Arial" w:ascii="Arial" w:hAnsi="Arial"/>
          <w:i/>
          <w:sz w:val="26"/>
        </w:rPr>
        <w:t>da Čistoća d.o.o. Split posluje s gubitkom, s tendencijom rasta istoga na mjesečnoj bazi.</w:t>
      </w:r>
    </w:p>
    <w:p>
      <w:pPr>
        <w:pStyle w:val="Normal"/>
        <w:rPr>
          <w:rFonts w:ascii="Arial" w:hAnsi="Arial" w:cs="Arial"/>
          <w:b/>
          <w:i/>
          <w:sz w:val="26"/>
          <w:u w:val="single"/>
        </w:rPr>
      </w:pPr>
      <w:r>
        <w:rPr>
          <w:rFonts w:cs="Arial" w:ascii="Arial" w:hAnsi="Arial"/>
          <w:b/>
          <w:i/>
          <w:sz w:val="26"/>
          <w:u w:val="single"/>
        </w:rPr>
      </w:r>
    </w:p>
    <w:p>
      <w:pPr>
        <w:pStyle w:val="Normal"/>
        <w:rPr>
          <w:rFonts w:ascii="Arial" w:hAnsi="Arial" w:cs="Arial"/>
          <w:b/>
          <w:i/>
          <w:sz w:val="26"/>
          <w:u w:val="single"/>
        </w:rPr>
      </w:pPr>
      <w:r>
        <w:rPr>
          <w:rFonts w:cs="Arial" w:ascii="Arial" w:hAnsi="Arial"/>
          <w:b/>
          <w:i/>
          <w:sz w:val="26"/>
          <w:u w:val="single"/>
        </w:rPr>
        <w:t xml:space="preserve">Gore navedene tablice prikazuju trenutno stanje, prije svih troškovno jako velikih stavki uvođenja zakonski definiranog sustava u funkciju. </w:t>
      </w:r>
    </w:p>
    <w:p>
      <w:pPr>
        <w:pStyle w:val="Normal"/>
        <w:rPr>
          <w:rFonts w:ascii="Arial" w:hAnsi="Arial" w:cs="Arial"/>
          <w:b/>
          <w:i/>
          <w:sz w:val="26"/>
          <w:u w:val="single"/>
        </w:rPr>
      </w:pPr>
      <w:r>
        <w:rPr>
          <w:rFonts w:cs="Arial" w:ascii="Arial" w:hAnsi="Arial"/>
          <w:b/>
          <w:i/>
          <w:sz w:val="26"/>
          <w:u w:val="single"/>
        </w:rPr>
      </w:r>
    </w:p>
    <w:p>
      <w:pPr>
        <w:pStyle w:val="Normal"/>
        <w:rPr/>
      </w:pPr>
      <w:r>
        <w:rPr>
          <w:rFonts w:cs="Arial" w:ascii="Arial" w:hAnsi="Arial"/>
          <w:b/>
          <w:i/>
          <w:sz w:val="26"/>
          <w:u w:val="single"/>
        </w:rPr>
        <w:t>Da bi sustav profunkcionirao nužna su bitna ulaganja u redovno poslovanje (velika količina novih spremnika različitih vrsta, zaključavanje spremnika, nabava specijalnih radnih vozila, programska podrška-uvođenje jedinstvenog ERP-a, dodatna ulaganja u odvojeno prikupljanje otpada-oporabitelji, reciklažna dvorišta, ...).</w:t>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1455" w:leader="none"/>
          <w:tab w:val="left" w:pos="2550" w:leader="none"/>
        </w:tabs>
        <w:rPr>
          <w:rFonts w:ascii="Arial" w:hAnsi="Arial" w:cs="Arial"/>
          <w:b/>
          <w:bCs/>
          <w:i/>
          <w:iCs/>
          <w:color w:val="003300"/>
          <w:sz w:val="26"/>
          <w:szCs w:val="26"/>
          <w:u w:val="single"/>
        </w:rPr>
      </w:pPr>
      <w:r>
        <w:rPr>
          <w:rFonts w:cs="Arial" w:ascii="Arial" w:hAnsi="Arial"/>
          <w:b/>
          <w:bCs/>
          <w:i/>
          <w:iCs/>
          <w:color w:val="003300"/>
          <w:sz w:val="26"/>
          <w:szCs w:val="26"/>
          <w:u w:val="single"/>
        </w:rPr>
      </w:r>
    </w:p>
    <w:p>
      <w:pPr>
        <w:pStyle w:val="Header"/>
        <w:tabs>
          <w:tab w:val="clear" w:pos="4536"/>
          <w:tab w:val="clear" w:pos="9072"/>
          <w:tab w:val="left" w:pos="1455" w:leader="none"/>
          <w:tab w:val="left" w:pos="2550" w:leader="none"/>
        </w:tabs>
        <w:rPr/>
      </w:pPr>
      <w:r>
        <w:rPr>
          <w:rFonts w:cs="Arial" w:ascii="Arial" w:hAnsi="Arial"/>
          <w:b/>
          <w:bCs/>
          <w:i/>
          <w:iCs/>
          <w:sz w:val="26"/>
          <w:szCs w:val="26"/>
          <w:u w:val="single"/>
        </w:rPr>
        <w:t>Dodatni</w:t>
      </w:r>
      <w:r>
        <w:rPr>
          <w:rFonts w:cs="Arial" w:ascii="Arial" w:hAnsi="Arial"/>
          <w:i/>
          <w:iCs/>
          <w:sz w:val="26"/>
          <w:szCs w:val="26"/>
        </w:rPr>
        <w:t xml:space="preserve"> procijenjeni troškovi uz povećanje fiksnih troškova poslovanja zbog rasta cijene goriva (velika stavka u troškovima) i dodatnog povećanja broja zaposlenih u operativnom dijelu zbog nužnosti odvajanja otpada da bi se što manja količina otpada donosila na deponij, troškovi oporabitelja za biootpad, te lančano svih ostalih materijalnih troškova i troškova usluga (čl.80. Zakona) važno je naglasiti troškove koji proizlaze direktno iz provedbe Zakona o gospodarenju otpadom i to kako slijedi:</w:t>
      </w:r>
    </w:p>
    <w:p>
      <w:pPr>
        <w:pStyle w:val="Header"/>
        <w:tabs>
          <w:tab w:val="clear" w:pos="4536"/>
          <w:tab w:val="clear" w:pos="9072"/>
          <w:tab w:val="left" w:pos="1455" w:leader="none"/>
          <w:tab w:val="left" w:pos="2550" w:leader="none"/>
        </w:tabs>
        <w:rPr>
          <w:rFonts w:ascii="Arial" w:hAnsi="Arial" w:cs="Arial"/>
          <w:i/>
          <w:iCs/>
          <w:sz w:val="26"/>
          <w:szCs w:val="26"/>
        </w:rPr>
      </w:pPr>
      <w:r>
        <w:rPr>
          <w:rFonts w:cs="Arial" w:ascii="Arial" w:hAnsi="Arial"/>
          <w:i/>
          <w:iCs/>
          <w:sz w:val="26"/>
          <w:szCs w:val="26"/>
        </w:rPr>
      </w:r>
    </w:p>
    <w:p>
      <w:pPr>
        <w:pStyle w:val="Header"/>
        <w:tabs>
          <w:tab w:val="clear" w:pos="4536"/>
          <w:tab w:val="clear" w:pos="9072"/>
          <w:tab w:val="left" w:pos="1455" w:leader="none"/>
          <w:tab w:val="left" w:pos="2550" w:leader="none"/>
        </w:tabs>
        <w:rPr>
          <w:rFonts w:ascii="Arial" w:hAnsi="Arial" w:cs="Arial"/>
          <w:i/>
          <w:iCs/>
          <w:sz w:val="26"/>
          <w:szCs w:val="26"/>
        </w:rPr>
      </w:pPr>
      <w:r>
        <w:rPr>
          <w:rFonts w:cs="Arial" w:ascii="Arial" w:hAnsi="Arial"/>
          <w:i/>
          <w:iCs/>
          <w:sz w:val="26"/>
          <w:szCs w:val="26"/>
        </w:rPr>
      </w:r>
    </w:p>
    <w:p>
      <w:pPr>
        <w:pStyle w:val="Header"/>
        <w:numPr>
          <w:ilvl w:val="0"/>
          <w:numId w:val="3"/>
        </w:numPr>
        <w:tabs>
          <w:tab w:val="clear" w:pos="4536"/>
          <w:tab w:val="clear" w:pos="9072"/>
          <w:tab w:val="left" w:pos="1455" w:leader="none"/>
          <w:tab w:val="left" w:pos="2550" w:leader="none"/>
        </w:tabs>
        <w:rPr>
          <w:rFonts w:ascii="Arial" w:hAnsi="Arial" w:cs="Arial"/>
          <w:i/>
          <w:iCs/>
          <w:sz w:val="26"/>
          <w:szCs w:val="26"/>
        </w:rPr>
      </w:pPr>
      <w:r>
        <w:rPr>
          <w:rFonts w:cs="Arial" w:ascii="Arial" w:hAnsi="Arial"/>
          <w:i/>
          <w:iCs/>
          <w:sz w:val="26"/>
          <w:szCs w:val="26"/>
        </w:rPr>
        <w:t>NABAVKA SPREMNIKA ZA OTPAD (polupodzemni)     =   1.500.000,00 eura;</w:t>
      </w:r>
    </w:p>
    <w:p>
      <w:pPr>
        <w:pStyle w:val="Header"/>
        <w:tabs>
          <w:tab w:val="clear" w:pos="4536"/>
          <w:tab w:val="clear" w:pos="9072"/>
          <w:tab w:val="left" w:pos="1455" w:leader="none"/>
          <w:tab w:val="left" w:pos="2550" w:leader="none"/>
        </w:tabs>
        <w:ind w:start="1438" w:end="0"/>
        <w:rPr>
          <w:rFonts w:ascii="Arial" w:hAnsi="Arial" w:cs="Arial"/>
          <w:i/>
          <w:iCs/>
          <w:sz w:val="26"/>
          <w:szCs w:val="26"/>
        </w:rPr>
      </w:pPr>
      <w:r>
        <w:rPr>
          <w:rFonts w:cs="Arial" w:ascii="Arial" w:hAnsi="Arial"/>
          <w:i/>
          <w:iCs/>
          <w:sz w:val="26"/>
          <w:szCs w:val="26"/>
        </w:rPr>
      </w:r>
    </w:p>
    <w:p>
      <w:pPr>
        <w:pStyle w:val="Header"/>
        <w:numPr>
          <w:ilvl w:val="0"/>
          <w:numId w:val="3"/>
        </w:numPr>
        <w:tabs>
          <w:tab w:val="clear" w:pos="4536"/>
          <w:tab w:val="clear" w:pos="9072"/>
          <w:tab w:val="left" w:pos="1455" w:leader="none"/>
          <w:tab w:val="left" w:pos="2550" w:leader="none"/>
          <w:tab w:val="left" w:pos="5904" w:leader="none"/>
          <w:tab w:val="left" w:pos="5948" w:leader="none"/>
        </w:tabs>
        <w:rPr>
          <w:rFonts w:ascii="Arial" w:hAnsi="Arial" w:cs="Arial"/>
          <w:i/>
          <w:iCs/>
          <w:sz w:val="26"/>
          <w:szCs w:val="26"/>
        </w:rPr>
      </w:pPr>
      <w:r>
        <w:rPr>
          <w:rFonts w:cs="Arial" w:ascii="Arial" w:hAnsi="Arial"/>
          <w:i/>
          <w:iCs/>
          <w:sz w:val="26"/>
          <w:szCs w:val="26"/>
        </w:rPr>
        <w:t>OPREMA ZA ZAKLJUČAVANJE SPREMNIKA I MJERAČA</w:t>
      </w:r>
    </w:p>
    <w:p>
      <w:pPr>
        <w:pStyle w:val="Odlomakpopisa"/>
        <w:rPr>
          <w:rFonts w:ascii="Arial" w:hAnsi="Arial" w:cs="Arial"/>
          <w:i/>
          <w:iCs/>
          <w:sz w:val="26"/>
          <w:szCs w:val="26"/>
        </w:rPr>
      </w:pPr>
      <w:r>
        <w:rPr>
          <w:rFonts w:cs="Arial" w:ascii="Arial" w:hAnsi="Arial"/>
          <w:i/>
          <w:iCs/>
          <w:sz w:val="26"/>
          <w:szCs w:val="26"/>
        </w:rPr>
      </w:r>
    </w:p>
    <w:p>
      <w:pPr>
        <w:pStyle w:val="Header"/>
        <w:tabs>
          <w:tab w:val="clear" w:pos="4536"/>
          <w:tab w:val="clear" w:pos="9072"/>
          <w:tab w:val="left" w:pos="1455" w:leader="none"/>
          <w:tab w:val="left" w:pos="2550" w:leader="none"/>
          <w:tab w:val="left" w:pos="5904" w:leader="none"/>
          <w:tab w:val="left" w:pos="5948" w:leader="none"/>
        </w:tabs>
        <w:ind w:start="1438" w:end="0"/>
        <w:rPr>
          <w:rFonts w:ascii="Arial" w:hAnsi="Arial" w:cs="Arial"/>
          <w:i/>
          <w:iCs/>
          <w:sz w:val="26"/>
          <w:szCs w:val="26"/>
        </w:rPr>
      </w:pPr>
      <w:r>
        <w:rPr>
          <w:rFonts w:cs="Arial" w:ascii="Arial" w:hAnsi="Arial"/>
          <w:i/>
          <w:iCs/>
          <w:sz w:val="26"/>
          <w:szCs w:val="26"/>
        </w:rPr>
        <w:t>POPUNJENOSTI</w:t>
      </w:r>
    </w:p>
    <w:p>
      <w:pPr>
        <w:pStyle w:val="Header"/>
        <w:tabs>
          <w:tab w:val="clear" w:pos="4536"/>
          <w:tab w:val="clear" w:pos="9072"/>
          <w:tab w:val="left" w:pos="1455" w:leader="none"/>
          <w:tab w:val="left" w:pos="2550" w:leader="none"/>
          <w:tab w:val="left" w:pos="5904" w:leader="none"/>
          <w:tab w:val="left" w:pos="5948" w:leader="none"/>
        </w:tabs>
        <w:rPr/>
      </w:pPr>
      <w:r>
        <w:rPr>
          <w:rFonts w:cs="Arial" w:ascii="Arial" w:hAnsi="Arial"/>
          <w:i/>
          <w:iCs/>
          <w:sz w:val="26"/>
          <w:szCs w:val="26"/>
        </w:rPr>
        <w:t xml:space="preserve">                                                                                        </w:t>
      </w:r>
      <w:r>
        <w:rPr>
          <w:rFonts w:cs="Arial" w:ascii="Arial" w:hAnsi="Arial"/>
          <w:i/>
          <w:iCs/>
          <w:sz w:val="26"/>
          <w:szCs w:val="26"/>
        </w:rPr>
        <w:t>=  3.000.000,00 eura;</w:t>
      </w:r>
    </w:p>
    <w:p>
      <w:pPr>
        <w:pStyle w:val="Odlomakpopisa"/>
        <w:rPr>
          <w:rFonts w:ascii="Arial" w:hAnsi="Arial" w:cs="Arial"/>
          <w:i/>
          <w:iCs/>
          <w:sz w:val="26"/>
          <w:szCs w:val="26"/>
        </w:rPr>
      </w:pPr>
      <w:r>
        <w:rPr>
          <w:rFonts w:cs="Arial" w:ascii="Arial" w:hAnsi="Arial"/>
          <w:i/>
          <w:iCs/>
          <w:sz w:val="26"/>
          <w:szCs w:val="26"/>
        </w:rPr>
      </w:r>
    </w:p>
    <w:p>
      <w:pPr>
        <w:pStyle w:val="Header"/>
        <w:numPr>
          <w:ilvl w:val="0"/>
          <w:numId w:val="3"/>
        </w:numPr>
        <w:tabs>
          <w:tab w:val="clear" w:pos="4536"/>
          <w:tab w:val="clear" w:pos="9072"/>
          <w:tab w:val="left" w:pos="1455" w:leader="none"/>
          <w:tab w:val="left" w:pos="2550" w:leader="none"/>
          <w:tab w:val="left" w:pos="5904" w:leader="none"/>
          <w:tab w:val="left" w:pos="5948" w:leader="none"/>
        </w:tabs>
        <w:rPr>
          <w:rFonts w:ascii="Arial" w:hAnsi="Arial" w:cs="Arial"/>
          <w:i/>
          <w:iCs/>
          <w:sz w:val="26"/>
          <w:szCs w:val="26"/>
        </w:rPr>
      </w:pPr>
      <w:r>
        <w:rPr>
          <w:rFonts w:cs="Arial" w:ascii="Arial" w:hAnsi="Arial"/>
          <w:i/>
          <w:iCs/>
          <w:sz w:val="26"/>
          <w:szCs w:val="26"/>
        </w:rPr>
        <w:t>UVOĐENJE JEDINSTVENOG ERP-a</w:t>
      </w:r>
    </w:p>
    <w:p>
      <w:pPr>
        <w:pStyle w:val="Header"/>
        <w:tabs>
          <w:tab w:val="clear" w:pos="4536"/>
          <w:tab w:val="clear" w:pos="9072"/>
          <w:tab w:val="left" w:pos="1455" w:leader="none"/>
          <w:tab w:val="left" w:pos="2550" w:leader="none"/>
          <w:tab w:val="left" w:pos="5904" w:leader="none"/>
          <w:tab w:val="left" w:pos="5948" w:leader="none"/>
        </w:tabs>
        <w:ind w:start="1438" w:end="0"/>
        <w:rPr/>
      </w:pPr>
      <w:r>
        <w:rPr>
          <w:rFonts w:cs="Arial" w:ascii="Arial" w:hAnsi="Arial"/>
          <w:i/>
          <w:iCs/>
          <w:sz w:val="26"/>
          <w:szCs w:val="26"/>
        </w:rPr>
        <w:t xml:space="preserve">                                                                  </w:t>
      </w:r>
      <w:r>
        <w:rPr>
          <w:rFonts w:cs="Arial" w:ascii="Arial" w:hAnsi="Arial"/>
          <w:i/>
          <w:iCs/>
          <w:sz w:val="26"/>
          <w:szCs w:val="26"/>
        </w:rPr>
        <w:t>=   1.200.000,00 eura;</w:t>
      </w:r>
    </w:p>
    <w:p>
      <w:pPr>
        <w:pStyle w:val="Header"/>
        <w:tabs>
          <w:tab w:val="clear" w:pos="4536"/>
          <w:tab w:val="clear" w:pos="9072"/>
          <w:tab w:val="left" w:pos="1455" w:leader="none"/>
          <w:tab w:val="left" w:pos="2550" w:leader="none"/>
          <w:tab w:val="left" w:pos="5904" w:leader="none"/>
          <w:tab w:val="left" w:pos="5948" w:leader="none"/>
        </w:tabs>
        <w:ind w:start="1438" w:end="0"/>
        <w:rPr>
          <w:rFonts w:ascii="Arial" w:hAnsi="Arial" w:cs="Arial"/>
          <w:i/>
          <w:iCs/>
          <w:sz w:val="26"/>
          <w:szCs w:val="26"/>
        </w:rPr>
      </w:pPr>
      <w:r>
        <w:rPr>
          <w:rFonts w:cs="Arial" w:ascii="Arial" w:hAnsi="Arial"/>
          <w:i/>
          <w:iCs/>
          <w:sz w:val="26"/>
          <w:szCs w:val="26"/>
        </w:rPr>
      </w:r>
    </w:p>
    <w:p>
      <w:pPr>
        <w:pStyle w:val="Header"/>
        <w:numPr>
          <w:ilvl w:val="0"/>
          <w:numId w:val="3"/>
        </w:numPr>
        <w:tabs>
          <w:tab w:val="clear" w:pos="4536"/>
          <w:tab w:val="clear" w:pos="9072"/>
          <w:tab w:val="left" w:pos="1455" w:leader="none"/>
          <w:tab w:val="left" w:pos="2550" w:leader="none"/>
          <w:tab w:val="left" w:pos="5904" w:leader="none"/>
          <w:tab w:val="left" w:pos="5948" w:leader="none"/>
        </w:tabs>
        <w:rPr>
          <w:rFonts w:ascii="Arial" w:hAnsi="Arial" w:cs="Arial"/>
          <w:i/>
          <w:iCs/>
          <w:sz w:val="26"/>
          <w:szCs w:val="26"/>
        </w:rPr>
      </w:pPr>
      <w:r>
        <w:rPr>
          <w:rFonts w:cs="Arial" w:ascii="Arial" w:hAnsi="Arial"/>
          <w:i/>
          <w:iCs/>
          <w:sz w:val="26"/>
          <w:szCs w:val="26"/>
        </w:rPr>
        <w:t>NABAVKE SPECIJALNIH RADNIH VOZILA  I STROJEVA</w:t>
      </w:r>
    </w:p>
    <w:p>
      <w:pPr>
        <w:pStyle w:val="Header"/>
        <w:tabs>
          <w:tab w:val="clear" w:pos="4536"/>
          <w:tab w:val="clear" w:pos="9072"/>
          <w:tab w:val="left" w:pos="1455" w:leader="none"/>
          <w:tab w:val="left" w:pos="2550" w:leader="none"/>
          <w:tab w:val="left" w:pos="5904" w:leader="none"/>
          <w:tab w:val="left" w:pos="5948" w:leader="none"/>
        </w:tabs>
        <w:ind w:start="1438" w:end="0"/>
        <w:rPr/>
      </w:pPr>
      <w:r>
        <w:rPr>
          <w:rFonts w:cs="Arial" w:ascii="Arial" w:hAnsi="Arial"/>
          <w:i/>
          <w:iCs/>
          <w:sz w:val="26"/>
          <w:szCs w:val="26"/>
        </w:rPr>
        <w:t xml:space="preserve"> </w:t>
      </w:r>
      <w:r>
        <w:rPr>
          <w:rFonts w:cs="Arial" w:ascii="Arial" w:hAnsi="Arial"/>
          <w:i/>
          <w:iCs/>
          <w:sz w:val="26"/>
          <w:szCs w:val="26"/>
        </w:rPr>
        <w:t>(SMEĆARI, VOZILA ZA PRIJEVOZ OTPADA, UTOVARIVAČ)</w:t>
      </w:r>
    </w:p>
    <w:p>
      <w:pPr>
        <w:pStyle w:val="Header"/>
        <w:tabs>
          <w:tab w:val="clear" w:pos="4536"/>
          <w:tab w:val="clear" w:pos="9072"/>
          <w:tab w:val="left" w:pos="1455" w:leader="none"/>
          <w:tab w:val="left" w:pos="2550" w:leader="none"/>
          <w:tab w:val="left" w:pos="5904" w:leader="none"/>
          <w:tab w:val="left" w:pos="5948" w:leader="none"/>
        </w:tabs>
        <w:ind w:start="1438" w:end="0"/>
        <w:rPr/>
      </w:pPr>
      <w:r>
        <w:rPr>
          <w:rFonts w:cs="Arial" w:ascii="Arial" w:hAnsi="Arial"/>
          <w:i/>
          <w:iCs/>
          <w:sz w:val="26"/>
          <w:szCs w:val="26"/>
        </w:rPr>
        <w:t xml:space="preserve">                                                                  </w:t>
      </w:r>
      <w:r>
        <w:rPr>
          <w:rFonts w:cs="Arial" w:ascii="Arial" w:hAnsi="Arial"/>
          <w:i/>
          <w:iCs/>
          <w:sz w:val="26"/>
          <w:szCs w:val="26"/>
        </w:rPr>
        <w:t>=    2.400.000,00 eura;</w:t>
      </w:r>
    </w:p>
    <w:p>
      <w:pPr>
        <w:pStyle w:val="Header"/>
        <w:tabs>
          <w:tab w:val="clear" w:pos="4536"/>
          <w:tab w:val="clear" w:pos="9072"/>
          <w:tab w:val="left" w:pos="1455" w:leader="none"/>
          <w:tab w:val="left" w:pos="2550" w:leader="none"/>
          <w:tab w:val="left" w:pos="5904" w:leader="none"/>
          <w:tab w:val="left" w:pos="5948" w:leader="none"/>
        </w:tabs>
        <w:ind w:start="1438" w:end="0"/>
        <w:rPr>
          <w:rFonts w:ascii="Arial" w:hAnsi="Arial" w:cs="Arial"/>
          <w:i/>
          <w:iCs/>
          <w:sz w:val="26"/>
          <w:szCs w:val="26"/>
        </w:rPr>
      </w:pPr>
      <w:r>
        <w:rPr>
          <w:rFonts w:cs="Arial" w:ascii="Arial" w:hAnsi="Arial"/>
          <w:i/>
          <w:iCs/>
          <w:sz w:val="26"/>
          <w:szCs w:val="26"/>
        </w:rPr>
      </w:r>
    </w:p>
    <w:p>
      <w:pPr>
        <w:pStyle w:val="Header"/>
        <w:numPr>
          <w:ilvl w:val="0"/>
          <w:numId w:val="3"/>
        </w:numPr>
        <w:tabs>
          <w:tab w:val="clear" w:pos="4536"/>
          <w:tab w:val="clear" w:pos="9072"/>
          <w:tab w:val="left" w:pos="1455" w:leader="none"/>
          <w:tab w:val="left" w:pos="2550" w:leader="none"/>
          <w:tab w:val="left" w:pos="5904" w:leader="none"/>
          <w:tab w:val="left" w:pos="5948" w:leader="none"/>
        </w:tabs>
        <w:rPr>
          <w:rFonts w:ascii="Arial" w:hAnsi="Arial" w:cs="Arial"/>
          <w:i/>
          <w:iCs/>
          <w:sz w:val="26"/>
          <w:szCs w:val="26"/>
        </w:rPr>
      </w:pPr>
      <w:r>
        <w:rPr>
          <w:rFonts w:cs="Arial" w:ascii="Arial" w:hAnsi="Arial"/>
          <w:i/>
          <w:iCs/>
          <w:sz w:val="26"/>
          <w:szCs w:val="26"/>
        </w:rPr>
        <w:t>NAKNADA ZA ODLAGANJE OTPADA (min.god.)</w:t>
      </w:r>
    </w:p>
    <w:p>
      <w:pPr>
        <w:pStyle w:val="Header"/>
        <w:tabs>
          <w:tab w:val="clear" w:pos="4536"/>
          <w:tab w:val="clear" w:pos="9072"/>
          <w:tab w:val="left" w:pos="1455" w:leader="none"/>
          <w:tab w:val="left" w:pos="2550" w:leader="none"/>
          <w:tab w:val="left" w:pos="5904" w:leader="none"/>
          <w:tab w:val="left" w:pos="5948" w:leader="none"/>
        </w:tabs>
        <w:ind w:start="1438" w:end="0"/>
        <w:rPr>
          <w:rFonts w:ascii="Arial" w:hAnsi="Arial" w:cs="Arial"/>
          <w:i/>
          <w:iCs/>
          <w:sz w:val="26"/>
          <w:szCs w:val="26"/>
        </w:rPr>
      </w:pPr>
      <w:r>
        <w:rPr>
          <w:rFonts w:cs="Arial" w:ascii="Arial" w:hAnsi="Arial"/>
          <w:i/>
          <w:iCs/>
          <w:sz w:val="26"/>
          <w:szCs w:val="26"/>
        </w:rPr>
      </w:r>
    </w:p>
    <w:p>
      <w:pPr>
        <w:pStyle w:val="Header"/>
        <w:tabs>
          <w:tab w:val="clear" w:pos="4536"/>
          <w:tab w:val="clear" w:pos="9072"/>
          <w:tab w:val="left" w:pos="1455" w:leader="none"/>
          <w:tab w:val="left" w:pos="2550" w:leader="none"/>
          <w:tab w:val="left" w:pos="5904" w:leader="none"/>
          <w:tab w:val="left" w:pos="5948" w:leader="none"/>
        </w:tabs>
        <w:ind w:start="1438" w:end="0"/>
        <w:rPr/>
      </w:pPr>
      <w:r>
        <w:rPr>
          <w:rFonts w:cs="Arial" w:ascii="Arial" w:hAnsi="Arial"/>
          <w:i/>
          <w:iCs/>
          <w:sz w:val="26"/>
          <w:szCs w:val="26"/>
        </w:rPr>
        <w:t xml:space="preserve">                           </w:t>
      </w:r>
      <w:r>
        <w:rPr>
          <w:rFonts w:cs="Arial" w:ascii="Arial" w:hAnsi="Arial"/>
          <w:i/>
          <w:iCs/>
          <w:sz w:val="26"/>
          <w:szCs w:val="26"/>
        </w:rPr>
        <w:t>=  od 3.500.000,00 eura do 4.400.000,00 eura;</w:t>
      </w:r>
    </w:p>
    <w:p>
      <w:pPr>
        <w:pStyle w:val="Header"/>
        <w:tabs>
          <w:tab w:val="clear" w:pos="4536"/>
          <w:tab w:val="clear" w:pos="9072"/>
          <w:tab w:val="left" w:pos="1455" w:leader="none"/>
          <w:tab w:val="left" w:pos="2550" w:leader="none"/>
          <w:tab w:val="left" w:pos="5904" w:leader="none"/>
          <w:tab w:val="left" w:pos="5948" w:leader="none"/>
        </w:tabs>
        <w:ind w:start="1438" w:end="0"/>
        <w:rPr>
          <w:rFonts w:ascii="Arial" w:hAnsi="Arial" w:cs="Arial"/>
          <w:i/>
          <w:iCs/>
          <w:sz w:val="26"/>
          <w:szCs w:val="26"/>
        </w:rPr>
      </w:pPr>
      <w:r>
        <w:rPr>
          <w:rFonts w:cs="Arial" w:ascii="Arial" w:hAnsi="Arial"/>
          <w:i/>
          <w:iCs/>
          <w:sz w:val="26"/>
          <w:szCs w:val="26"/>
        </w:rPr>
      </w:r>
    </w:p>
    <w:p>
      <w:pPr>
        <w:pStyle w:val="Header"/>
        <w:tabs>
          <w:tab w:val="clear" w:pos="4536"/>
          <w:tab w:val="clear" w:pos="9072"/>
          <w:tab w:val="left" w:pos="1455" w:leader="none"/>
          <w:tab w:val="left" w:pos="2550" w:leader="none"/>
          <w:tab w:val="left" w:pos="5904" w:leader="none"/>
          <w:tab w:val="left" w:pos="5948" w:leader="none"/>
        </w:tabs>
        <w:ind w:start="1438" w:end="0"/>
        <w:rPr>
          <w:rFonts w:ascii="Arial" w:hAnsi="Arial" w:cs="Arial"/>
          <w:i/>
          <w:iCs/>
          <w:sz w:val="26"/>
          <w:szCs w:val="26"/>
        </w:rPr>
      </w:pPr>
      <w:r>
        <w:rPr>
          <w:rFonts w:cs="Arial" w:ascii="Arial" w:hAnsi="Arial"/>
          <w:i/>
          <w:iCs/>
          <w:sz w:val="26"/>
          <w:szCs w:val="26"/>
        </w:rPr>
      </w:r>
    </w:p>
    <w:p>
      <w:pPr>
        <w:pStyle w:val="Header"/>
        <w:numPr>
          <w:ilvl w:val="0"/>
          <w:numId w:val="3"/>
        </w:numPr>
        <w:tabs>
          <w:tab w:val="clear" w:pos="4536"/>
          <w:tab w:val="clear" w:pos="9072"/>
          <w:tab w:val="left" w:pos="1455" w:leader="none"/>
          <w:tab w:val="left" w:pos="2550" w:leader="none"/>
          <w:tab w:val="left" w:pos="5904" w:leader="none"/>
          <w:tab w:val="left" w:pos="5948" w:leader="none"/>
        </w:tabs>
        <w:rPr>
          <w:rFonts w:ascii="Arial" w:hAnsi="Arial" w:cs="Arial"/>
          <w:i/>
          <w:iCs/>
          <w:sz w:val="26"/>
          <w:szCs w:val="26"/>
        </w:rPr>
      </w:pPr>
      <w:r>
        <w:rPr>
          <w:rFonts w:cs="Arial" w:ascii="Arial" w:hAnsi="Arial"/>
          <w:i/>
          <w:iCs/>
          <w:sz w:val="26"/>
          <w:szCs w:val="26"/>
        </w:rPr>
        <w:t xml:space="preserve">DODATNI RADNICI NA RECIKLAŽNIM DVORIŠTIMA </w:t>
      </w:r>
    </w:p>
    <w:p>
      <w:pPr>
        <w:pStyle w:val="Header"/>
        <w:tabs>
          <w:tab w:val="clear" w:pos="4536"/>
          <w:tab w:val="clear" w:pos="9072"/>
          <w:tab w:val="left" w:pos="1455" w:leader="none"/>
          <w:tab w:val="left" w:pos="2550" w:leader="none"/>
          <w:tab w:val="left" w:pos="5904" w:leader="none"/>
          <w:tab w:val="left" w:pos="5948" w:leader="none"/>
        </w:tabs>
        <w:ind w:start="1438" w:end="0"/>
        <w:rPr>
          <w:rFonts w:ascii="Arial" w:hAnsi="Arial" w:cs="Arial"/>
          <w:i/>
          <w:iCs/>
          <w:sz w:val="26"/>
          <w:szCs w:val="26"/>
        </w:rPr>
      </w:pPr>
      <w:r>
        <w:rPr>
          <w:rFonts w:cs="Arial" w:ascii="Arial" w:hAnsi="Arial"/>
          <w:i/>
          <w:iCs/>
          <w:sz w:val="26"/>
          <w:szCs w:val="26"/>
        </w:rPr>
        <w:t>I DEPONIJU (20 RADNIKA-god.tr.min.)       =    600.000,00 eura</w:t>
      </w:r>
    </w:p>
    <w:p>
      <w:pPr>
        <w:pStyle w:val="Header"/>
        <w:tabs>
          <w:tab w:val="clear" w:pos="4536"/>
          <w:tab w:val="clear" w:pos="9072"/>
          <w:tab w:val="left" w:pos="1455" w:leader="none"/>
          <w:tab w:val="left" w:pos="2550" w:leader="none"/>
          <w:tab w:val="left" w:pos="5904" w:leader="none"/>
          <w:tab w:val="left" w:pos="5948" w:leader="none"/>
        </w:tabs>
        <w:ind w:start="1438" w:end="0"/>
        <w:rPr>
          <w:rFonts w:ascii="Arial" w:hAnsi="Arial" w:cs="Arial"/>
          <w:i/>
          <w:iCs/>
          <w:sz w:val="26"/>
          <w:szCs w:val="26"/>
        </w:rPr>
      </w:pPr>
      <w:r>
        <w:rPr>
          <w:rFonts w:cs="Arial" w:ascii="Arial" w:hAnsi="Arial"/>
          <w:i/>
          <w:iCs/>
          <w:sz w:val="26"/>
          <w:szCs w:val="26"/>
        </w:rPr>
      </w:r>
    </w:p>
    <w:p>
      <w:pPr>
        <w:pStyle w:val="Header"/>
        <w:tabs>
          <w:tab w:val="clear" w:pos="4536"/>
          <w:tab w:val="clear" w:pos="9072"/>
          <w:tab w:val="left" w:pos="1455" w:leader="none"/>
          <w:tab w:val="left" w:pos="2550" w:leader="none"/>
          <w:tab w:val="left" w:pos="5904" w:leader="none"/>
          <w:tab w:val="left" w:pos="5948" w:leader="none"/>
        </w:tabs>
        <w:ind w:start="1438" w:end="0"/>
        <w:rPr>
          <w:rFonts w:ascii="Arial" w:hAnsi="Arial" w:cs="Arial"/>
          <w:i/>
          <w:iCs/>
          <w:sz w:val="26"/>
          <w:szCs w:val="26"/>
        </w:rPr>
      </w:pPr>
      <w:r>
        <w:rPr>
          <w:rFonts w:cs="Arial" w:ascii="Arial" w:hAnsi="Arial"/>
          <w:i/>
          <w:iCs/>
          <w:sz w:val="26"/>
          <w:szCs w:val="26"/>
        </w:rPr>
        <w:t>.</w:t>
      </w:r>
    </w:p>
    <w:p>
      <w:pPr>
        <w:pStyle w:val="Header"/>
        <w:numPr>
          <w:ilvl w:val="0"/>
          <w:numId w:val="3"/>
        </w:numPr>
        <w:tabs>
          <w:tab w:val="clear" w:pos="4536"/>
          <w:tab w:val="clear" w:pos="9072"/>
          <w:tab w:val="left" w:pos="1455" w:leader="none"/>
          <w:tab w:val="left" w:pos="2550" w:leader="none"/>
          <w:tab w:val="left" w:pos="5904" w:leader="none"/>
          <w:tab w:val="left" w:pos="5948" w:leader="none"/>
        </w:tabs>
        <w:rPr>
          <w:rFonts w:ascii="Arial" w:hAnsi="Arial" w:cs="Arial"/>
          <w:i/>
          <w:iCs/>
          <w:sz w:val="26"/>
          <w:szCs w:val="26"/>
        </w:rPr>
      </w:pPr>
      <w:r>
        <w:rPr>
          <w:rFonts w:cs="Arial" w:ascii="Arial" w:hAnsi="Arial"/>
          <w:i/>
          <w:iCs/>
          <w:sz w:val="26"/>
          <w:szCs w:val="26"/>
        </w:rPr>
        <w:t xml:space="preserve">DODATNI TROŠAK OPORABITELJA </w:t>
      </w:r>
    </w:p>
    <w:p>
      <w:pPr>
        <w:pStyle w:val="Header"/>
        <w:tabs>
          <w:tab w:val="clear" w:pos="4536"/>
          <w:tab w:val="clear" w:pos="9072"/>
          <w:tab w:val="left" w:pos="1455" w:leader="none"/>
          <w:tab w:val="left" w:pos="2550" w:leader="none"/>
          <w:tab w:val="left" w:pos="5904" w:leader="none"/>
          <w:tab w:val="left" w:pos="5948" w:leader="none"/>
        </w:tabs>
        <w:ind w:start="1438" w:end="0"/>
        <w:rPr/>
      </w:pPr>
      <w:r>
        <w:rPr>
          <w:rFonts w:cs="Arial" w:ascii="Arial" w:hAnsi="Arial"/>
          <w:i/>
          <w:iCs/>
          <w:sz w:val="26"/>
          <w:szCs w:val="26"/>
        </w:rPr>
        <w:t>ZA BIO OTPAD (min.god.)                          =   1.200.000,00 eura</w:t>
      </w:r>
    </w:p>
    <w:p>
      <w:pPr>
        <w:pStyle w:val="Header"/>
        <w:tabs>
          <w:tab w:val="clear" w:pos="4536"/>
          <w:tab w:val="clear" w:pos="9072"/>
          <w:tab w:val="left" w:pos="1455" w:leader="none"/>
          <w:tab w:val="left" w:pos="2550" w:leader="none"/>
          <w:tab w:val="left" w:pos="5904" w:leader="none"/>
          <w:tab w:val="left" w:pos="5948" w:leader="none"/>
        </w:tabs>
        <w:ind w:start="1438" w:end="0"/>
        <w:rPr>
          <w:rFonts w:ascii="Arial" w:hAnsi="Arial" w:cs="Arial"/>
          <w:i/>
          <w:iCs/>
          <w:sz w:val="26"/>
          <w:szCs w:val="26"/>
        </w:rPr>
      </w:pPr>
      <w:r>
        <w:rPr>
          <w:rFonts w:cs="Arial" w:ascii="Arial" w:hAnsi="Arial"/>
          <w:i/>
          <w:iCs/>
          <w:sz w:val="26"/>
          <w:szCs w:val="26"/>
        </w:rPr>
      </w:r>
    </w:p>
    <w:p>
      <w:pPr>
        <w:pStyle w:val="Header"/>
        <w:tabs>
          <w:tab w:val="clear" w:pos="4536"/>
          <w:tab w:val="clear" w:pos="9072"/>
          <w:tab w:val="left" w:pos="1455" w:leader="none"/>
          <w:tab w:val="left" w:pos="2550" w:leader="none"/>
          <w:tab w:val="left" w:pos="5904" w:leader="none"/>
          <w:tab w:val="left" w:pos="5948" w:leader="none"/>
        </w:tabs>
        <w:ind w:start="1438" w:end="0"/>
        <w:rPr>
          <w:rFonts w:ascii="Arial" w:hAnsi="Arial" w:cs="Arial"/>
          <w:i/>
          <w:iCs/>
          <w:sz w:val="26"/>
          <w:szCs w:val="26"/>
        </w:rPr>
      </w:pPr>
      <w:r>
        <w:rPr>
          <w:rFonts w:cs="Arial" w:ascii="Arial" w:hAnsi="Arial"/>
          <w:i/>
          <w:iCs/>
          <w:sz w:val="26"/>
          <w:szCs w:val="26"/>
        </w:rPr>
      </w:r>
    </w:p>
    <w:p>
      <w:pPr>
        <w:pStyle w:val="Header"/>
        <w:numPr>
          <w:ilvl w:val="0"/>
          <w:numId w:val="3"/>
        </w:numPr>
        <w:tabs>
          <w:tab w:val="clear" w:pos="4536"/>
          <w:tab w:val="clear" w:pos="9072"/>
          <w:tab w:val="left" w:pos="1455" w:leader="none"/>
          <w:tab w:val="left" w:pos="2550" w:leader="none"/>
          <w:tab w:val="left" w:pos="5904" w:leader="none"/>
          <w:tab w:val="left" w:pos="5948" w:leader="none"/>
        </w:tabs>
        <w:rPr>
          <w:rFonts w:ascii="Arial" w:hAnsi="Arial" w:cs="Arial"/>
          <w:i/>
          <w:iCs/>
          <w:sz w:val="26"/>
          <w:szCs w:val="26"/>
        </w:rPr>
      </w:pPr>
      <w:r>
        <w:rPr>
          <w:rFonts w:cs="Arial" w:ascii="Arial" w:hAnsi="Arial"/>
          <w:i/>
          <w:iCs/>
          <w:sz w:val="26"/>
          <w:szCs w:val="26"/>
        </w:rPr>
        <w:t>KOMPOSTERI                                            =   1.144.000,00 eura</w:t>
      </w:r>
    </w:p>
    <w:p>
      <w:pPr>
        <w:pStyle w:val="Header"/>
        <w:tabs>
          <w:tab w:val="clear" w:pos="4536"/>
          <w:tab w:val="clear" w:pos="9072"/>
          <w:tab w:val="left" w:pos="1455" w:leader="none"/>
          <w:tab w:val="left" w:pos="2550" w:leader="none"/>
          <w:tab w:val="left" w:pos="5904" w:leader="none"/>
          <w:tab w:val="left" w:pos="5948" w:leader="none"/>
        </w:tabs>
        <w:ind w:start="1438" w:end="0"/>
        <w:rPr>
          <w:rFonts w:ascii="Arial" w:hAnsi="Arial" w:cs="Arial"/>
          <w:i/>
          <w:iCs/>
          <w:sz w:val="26"/>
          <w:szCs w:val="26"/>
        </w:rPr>
      </w:pPr>
      <w:r>
        <w:rPr>
          <w:rFonts w:cs="Arial" w:ascii="Arial" w:hAnsi="Arial"/>
          <w:i/>
          <w:iCs/>
          <w:sz w:val="26"/>
          <w:szCs w:val="26"/>
        </w:rPr>
      </w:r>
    </w:p>
    <w:p>
      <w:pPr>
        <w:pStyle w:val="Header"/>
        <w:tabs>
          <w:tab w:val="clear" w:pos="4536"/>
          <w:tab w:val="clear" w:pos="9072"/>
          <w:tab w:val="left" w:pos="1455" w:leader="none"/>
          <w:tab w:val="left" w:pos="2550" w:leader="none"/>
          <w:tab w:val="left" w:pos="5904" w:leader="none"/>
          <w:tab w:val="left" w:pos="5948" w:leader="none"/>
        </w:tabs>
        <w:ind w:start="1438" w:end="0"/>
        <w:rPr>
          <w:rFonts w:ascii="Arial" w:hAnsi="Arial" w:cs="Arial"/>
          <w:i/>
          <w:iCs/>
          <w:sz w:val="26"/>
          <w:szCs w:val="26"/>
        </w:rPr>
      </w:pPr>
      <w:r>
        <w:rPr>
          <w:rFonts w:cs="Arial" w:ascii="Arial" w:hAnsi="Arial"/>
          <w:i/>
          <w:iCs/>
          <w:sz w:val="26"/>
          <w:szCs w:val="26"/>
        </w:rPr>
      </w:r>
    </w:p>
    <w:p>
      <w:pPr>
        <w:pStyle w:val="Normal"/>
        <w:rPr>
          <w:rFonts w:ascii="Arial" w:hAnsi="Arial" w:cs="Arial"/>
          <w:i/>
          <w:iCs/>
          <w:sz w:val="26"/>
          <w:szCs w:val="26"/>
        </w:rPr>
      </w:pPr>
      <w:r>
        <w:rPr>
          <w:rFonts w:cs="Arial" w:ascii="Arial" w:hAnsi="Arial"/>
          <w:i/>
          <w:iCs/>
          <w:sz w:val="26"/>
          <w:szCs w:val="26"/>
        </w:rPr>
        <w:t xml:space="preserve">                                                       </w:t>
      </w:r>
    </w:p>
    <w:p>
      <w:pPr>
        <w:pStyle w:val="BodyText"/>
        <w:tabs>
          <w:tab w:val="clear" w:pos="708"/>
          <w:tab w:val="left" w:pos="3810" w:leader="none"/>
        </w:tabs>
        <w:spacing w:lineRule="atLeast" w:line="380"/>
        <w:rPr>
          <w:rFonts w:ascii="Arial" w:hAnsi="Arial" w:cs="Arial"/>
          <w:i/>
          <w:iCs/>
          <w:sz w:val="22"/>
          <w:szCs w:val="26"/>
        </w:rPr>
      </w:pPr>
      <w:r>
        <w:rPr>
          <w:rFonts w:cs="Arial"/>
          <w:i/>
          <w:iCs/>
          <w:sz w:val="22"/>
          <w:szCs w:val="26"/>
        </w:rPr>
      </w:r>
    </w:p>
    <w:p>
      <w:pPr>
        <w:pStyle w:val="BodyText"/>
        <w:tabs>
          <w:tab w:val="clear" w:pos="708"/>
          <w:tab w:val="left" w:pos="3810" w:leader="none"/>
        </w:tabs>
        <w:spacing w:lineRule="atLeast" w:line="380"/>
        <w:rPr>
          <w:i/>
          <w:iCs/>
          <w:sz w:val="22"/>
        </w:rPr>
      </w:pPr>
      <w:r>
        <w:rPr>
          <w:i/>
          <w:iCs/>
          <w:sz w:val="22"/>
        </w:rPr>
      </w:r>
    </w:p>
    <w:p>
      <w:pPr>
        <w:pStyle w:val="Normal"/>
        <w:rPr>
          <w:rFonts w:ascii="Arial" w:hAnsi="Arial" w:cs="Arial"/>
          <w:i/>
          <w:iCs/>
          <w:sz w:val="22"/>
        </w:rPr>
      </w:pPr>
      <w:r>
        <w:rPr>
          <w:rFonts w:cs="Arial" w:ascii="Arial" w:hAnsi="Arial"/>
          <w:i/>
          <w:iCs/>
          <w:sz w:val="22"/>
        </w:rPr>
      </w:r>
    </w:p>
    <w:p>
      <w:pPr>
        <w:pStyle w:val="Normal"/>
        <w:rPr>
          <w:rFonts w:ascii="Arial" w:hAnsi="Arial" w:cs="Arial"/>
          <w:i/>
          <w:iCs/>
          <w:sz w:val="26"/>
          <w:szCs w:val="26"/>
        </w:rPr>
      </w:pPr>
      <w:r>
        <w:rPr>
          <w:rFonts w:cs="Arial" w:ascii="Arial" w:hAnsi="Arial"/>
          <w:i/>
          <w:iCs/>
          <w:sz w:val="26"/>
          <w:szCs w:val="26"/>
        </w:rPr>
      </w:r>
    </w:p>
    <w:p>
      <w:pPr>
        <w:pStyle w:val="Normal"/>
        <w:rPr>
          <w:rFonts w:ascii="Arial" w:hAnsi="Arial" w:cs="Arial"/>
          <w:i/>
          <w:iCs/>
          <w:sz w:val="26"/>
          <w:szCs w:val="26"/>
        </w:rPr>
      </w:pPr>
      <w:r>
        <w:rPr>
          <w:rFonts w:cs="Arial" w:ascii="Arial" w:hAnsi="Arial"/>
          <w:i/>
          <w:iCs/>
          <w:sz w:val="26"/>
          <w:szCs w:val="26"/>
        </w:rPr>
      </w:r>
    </w:p>
    <w:p>
      <w:pPr>
        <w:pStyle w:val="Normal"/>
        <w:rPr/>
      </w:pPr>
      <w:r>
        <w:rPr/>
      </w:r>
    </w:p>
    <w:p>
      <w:pPr>
        <w:pStyle w:val="BodyText"/>
        <w:numPr>
          <w:ilvl w:val="0"/>
          <w:numId w:val="2"/>
        </w:numPr>
        <w:ind w:hanging="360" w:start="709" w:end="0"/>
        <w:rPr>
          <w:rFonts w:ascii="Times New Roman" w:hAnsi="Times New Roman" w:cs="Times New Roman"/>
          <w:b/>
          <w:sz w:val="24"/>
        </w:rPr>
      </w:pPr>
      <w:r>
        <w:rPr>
          <w:b/>
          <w:i/>
        </w:rPr>
        <w:t xml:space="preserve">USPOREDBA PROSJEČNOG MJESEČNO RAČUNA ZA JAVNU USLUGU </w:t>
      </w:r>
      <w:r>
        <w:rPr>
          <w:b/>
        </w:rPr>
        <w:t xml:space="preserve"> </w:t>
      </w:r>
      <w:r>
        <w:rPr>
          <w:b/>
          <w:bCs/>
          <w:i/>
          <w:iCs/>
          <w:szCs w:val="26"/>
        </w:rPr>
        <w:t xml:space="preserve">PRIKUPLJANJA MIJEŠANOG KOMUNALNOG OTPADA ZA KUĆASNTVA I NEKUĆANSTVA S OSTALIM VEĆIM GRADOVIMA U RH </w:t>
      </w:r>
    </w:p>
    <w:p>
      <w:pPr>
        <w:pStyle w:val="BodyText"/>
        <w:ind w:start="709" w:end="0"/>
        <w:rPr>
          <w:rFonts w:ascii="Times New Roman" w:hAnsi="Times New Roman" w:cs="Times New Roman"/>
          <w:b/>
          <w:sz w:val="24"/>
        </w:rPr>
      </w:pPr>
      <w:r>
        <w:rPr>
          <w:rFonts w:cs="Times New Roman" w:ascii="Times New Roman" w:hAnsi="Times New Roman"/>
          <w:b/>
          <w:sz w:val="24"/>
        </w:rPr>
      </w:r>
    </w:p>
    <w:p>
      <w:pPr>
        <w:pStyle w:val="BodyText"/>
        <w:rPr>
          <w:rFonts w:ascii="Times New Roman" w:hAnsi="Times New Roman" w:cs="Times New Roman"/>
          <w:b/>
          <w:sz w:val="24"/>
        </w:rPr>
      </w:pPr>
      <w:r>
        <mc:AlternateContent>
          <mc:Choice Requires="wps">
            <w:drawing>
              <wp:anchor distT="0" distB="0" distL="114935" distR="114935" simplePos="0" relativeHeight="33" behindDoc="0" locked="0" layoutInCell="1" allowOverlap="1">
                <wp:simplePos x="0" y="0"/>
                <wp:positionH relativeFrom="column">
                  <wp:posOffset>1108710</wp:posOffset>
                </wp:positionH>
                <wp:positionV relativeFrom="paragraph">
                  <wp:posOffset>124460</wp:posOffset>
                </wp:positionV>
                <wp:extent cx="628650" cy="981075"/>
                <wp:effectExtent l="19050" t="7620" r="32385" b="29845"/>
                <wp:wrapNone/>
                <wp:docPr id="3" name=""/>
                <a:graphic xmlns:a="http://schemas.openxmlformats.org/drawingml/2006/main">
                  <a:graphicData uri="http://schemas.microsoft.com/office/word/2010/wordprocessingShape">
                    <wps:wsp>
                      <wps:cNvSpPr/>
                      <wps:spPr>
                        <a:xfrm>
                          <a:off x="0" y="0"/>
                          <a:ext cx="628560" cy="981000"/>
                        </a:xfrm>
                        <a:prstGeom prst="downArrow">
                          <a:avLst>
                            <a:gd name="adj1" fmla="val 50000"/>
                            <a:gd name="adj2" fmla="val 39018"/>
                          </a:avLst>
                        </a:prstGeom>
                        <a:gradFill rotWithShape="0">
                          <a:gsLst>
                            <a:gs pos="0">
                              <a:srgbClr val="8DD873"/>
                            </a:gs>
                            <a:gs pos="50000">
                              <a:srgbClr val="4EA72E"/>
                            </a:gs>
                            <a:gs pos="100000">
                              <a:srgbClr val="8DD873"/>
                            </a:gs>
                          </a:gsLst>
                          <a:lin ang="5400000"/>
                        </a:gradFill>
                        <a:ln w="12600">
                          <a:solidFill>
                            <a:srgbClr val="4EA72E"/>
                          </a:solidFill>
                          <a:miter/>
                        </a:ln>
                        <a:effectLst>
                          <a:outerShdw dist="25630" dir="3633274" rotWithShape="0">
                            <a:srgbClr val="265317"/>
                          </a:outerShdw>
                        </a:effectLst>
                      </wps:spPr>
                      <wps:style>
                        <a:lnRef idx="0"/>
                        <a:fillRef idx="0"/>
                        <a:effectRef idx="0"/>
                        <a:fontRef idx="minor"/>
                      </wps:style>
                      <wps:bodyPr/>
                    </wps:wsp>
                  </a:graphicData>
                </a:graphic>
              </wp:anchor>
            </w:drawing>
          </mc:Choice>
          <mc:Fallback>
            <w:pict>
              <v:shapetype id="_x0000_t67" coordsize="21600,21600" o:spt="67" adj="10800,10800" path="m0@3l@5@3l@5,l@6,l@6@3l21600@3l10800,21600xe">
                <v:stroke joinstyle="miter"/>
                <v:formulas>
                  <v:f eqn="val 21600"/>
                  <v:f eqn="val #1"/>
                  <v:f eqn="val #0"/>
                  <v:f eqn="sum height 0 @2"/>
                  <v:f eqn="prod 1 @1 2"/>
                  <v:f eqn="sum 10800 0 @4"/>
                  <v:f eqn="sum 10800 @4 0"/>
                  <v:f eqn="prod @5 @2 10800"/>
                  <v:f eqn="sum @3 @7 0"/>
                </v:formulas>
                <v:path gradientshapeok="t" o:connecttype="rect" textboxrect="@5,0,@6,@8"/>
                <v:handles>
                  <v:h position="@5,0"/>
                  <v:h position="0,@3"/>
                </v:handles>
              </v:shapetype>
              <v:shape id="shape_0" fillcolor="#4ea72e" stroked="t" o:allowincell="f" style="position:absolute;margin-left:87.3pt;margin-top:9.8pt;width:49.45pt;height:77.2pt;mso-wrap-style:none;v-text-anchor:middle" type="_x0000_t67">
                <v:fill o:detectmouseclick="t" color2="#8dd873"/>
                <v:stroke color="#4ea72e" weight="12600" joinstyle="miter" endcap="flat"/>
                <v:shadow on="t" obscured="f" color="#265317"/>
                <w10:wrap type="none"/>
              </v:shape>
            </w:pict>
          </mc:Fallback>
        </mc:AlternateContent>
      </w:r>
      <w:r>
        <w:rPr>
          <w:rFonts w:cs="Times New Roman" w:ascii="Times New Roman" w:hAnsi="Times New Roman"/>
          <w:b/>
          <w:sz w:val="24"/>
        </w:rPr>
        <w:t xml:space="preserve">      </w:t>
      </w:r>
    </w:p>
    <w:p>
      <w:pPr>
        <w:pStyle w:val="BodyText"/>
        <w:rPr>
          <w:rFonts w:ascii="Times New Roman" w:hAnsi="Times New Roman" w:cs="Times New Roman"/>
          <w:b/>
          <w:sz w:val="24"/>
        </w:rPr>
      </w:pPr>
      <w:r>
        <w:rPr>
          <w:rFonts w:cs="Times New Roman" w:ascii="Times New Roman" w:hAnsi="Times New Roman"/>
          <w:b/>
          <w:sz w:val="24"/>
        </w:rPr>
      </w:r>
    </w:p>
    <w:p>
      <w:pPr>
        <w:pStyle w:val="BodyText"/>
        <w:rPr/>
      </w:pPr>
      <w:r>
        <w:rPr/>
      </w:r>
    </w:p>
    <w:p>
      <w:pPr>
        <w:pStyle w:val="BodyText"/>
        <w:rPr/>
      </w:pPr>
      <w:r>
        <w:rPr/>
      </w:r>
    </w:p>
    <w:p>
      <w:pPr>
        <w:pStyle w:val="BodyText"/>
        <w:rPr/>
      </w:pPr>
      <w:r>
        <w:rPr/>
      </w:r>
    </w:p>
    <w:p>
      <w:pPr>
        <w:pStyle w:val="BodyText"/>
        <w:rPr/>
      </w:pPr>
      <w:r>
        <w:rPr/>
      </w:r>
    </w:p>
    <w:p>
      <w:pPr>
        <w:pStyle w:val="BodyText"/>
        <w:rPr>
          <w:rFonts w:ascii="Times New Roman" w:hAnsi="Times New Roman" w:cs="Times New Roman"/>
          <w:sz w:val="24"/>
        </w:rPr>
      </w:pPr>
      <w:r>
        <w:rPr>
          <w:rFonts w:cs="Times New Roman" w:ascii="Times New Roman" w:hAnsi="Times New Roman"/>
          <w:sz w:val="24"/>
        </w:rPr>
        <w:t xml:space="preserve">   </w:t>
      </w:r>
      <w:r>
        <w:rPr/>
        <w:drawing>
          <wp:inline distT="0" distB="0" distL="0" distR="0">
            <wp:extent cx="6113780" cy="2589530"/>
            <wp:effectExtent l="0" t="0" r="0" b="0"/>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4"/>
                    <a:srcRect l="-6" t="-16" r="-6" b="-16"/>
                    <a:stretch>
                      <a:fillRect/>
                    </a:stretch>
                  </pic:blipFill>
                  <pic:spPr bwMode="auto">
                    <a:xfrm>
                      <a:off x="0" y="0"/>
                      <a:ext cx="6113780" cy="2589530"/>
                    </a:xfrm>
                    <a:prstGeom prst="rect">
                      <a:avLst/>
                    </a:prstGeom>
                    <a:noFill/>
                  </pic:spPr>
                </pic:pic>
              </a:graphicData>
            </a:graphic>
          </wp:inline>
        </w:drawing>
      </w:r>
    </w:p>
    <w:p>
      <w:pPr>
        <w:pStyle w:val="BodyText"/>
        <w:rPr>
          <w:rFonts w:ascii="Times New Roman" w:hAnsi="Times New Roman" w:cs="Times New Roman"/>
          <w:i/>
          <w:sz w:val="24"/>
          <w:szCs w:val="26"/>
          <w:lang w:val="en-US" w:eastAsia="en-US"/>
        </w:rPr>
      </w:pPr>
      <w:r>
        <w:rPr>
          <w:rFonts w:cs="Times New Roman" w:ascii="Times New Roman" w:hAnsi="Times New Roman"/>
          <w:i/>
          <w:sz w:val="24"/>
          <w:szCs w:val="26"/>
          <w:lang w:val="en-US" w:eastAsia="en-US"/>
        </w:rPr>
        <mc:AlternateContent>
          <mc:Choice Requires="wps">
            <w:drawing>
              <wp:anchor distT="0" distB="0" distL="114935" distR="114935" simplePos="0" relativeHeight="32" behindDoc="0" locked="0" layoutInCell="1" allowOverlap="1">
                <wp:simplePos x="0" y="0"/>
                <wp:positionH relativeFrom="column">
                  <wp:posOffset>1080135</wp:posOffset>
                </wp:positionH>
                <wp:positionV relativeFrom="paragraph">
                  <wp:posOffset>156845</wp:posOffset>
                </wp:positionV>
                <wp:extent cx="752475" cy="1019175"/>
                <wp:effectExtent l="21590" t="8890" r="33655" b="28575"/>
                <wp:wrapNone/>
                <wp:docPr id="5" name=""/>
                <a:graphic xmlns:a="http://schemas.openxmlformats.org/drawingml/2006/main">
                  <a:graphicData uri="http://schemas.microsoft.com/office/word/2010/wordprocessingShape">
                    <wps:wsp>
                      <wps:cNvSpPr/>
                      <wps:spPr>
                        <a:xfrm>
                          <a:off x="0" y="0"/>
                          <a:ext cx="752400" cy="1019160"/>
                        </a:xfrm>
                        <a:prstGeom prst="upArrow">
                          <a:avLst>
                            <a:gd name="adj1" fmla="val 50000"/>
                            <a:gd name="adj2" fmla="val 33864"/>
                          </a:avLst>
                        </a:prstGeom>
                        <a:gradFill rotWithShape="0">
                          <a:gsLst>
                            <a:gs pos="0">
                              <a:srgbClr val="8DD873"/>
                            </a:gs>
                            <a:gs pos="50000">
                              <a:srgbClr val="4EA72E"/>
                            </a:gs>
                            <a:gs pos="100000">
                              <a:srgbClr val="8DD873"/>
                            </a:gs>
                          </a:gsLst>
                          <a:lin ang="5400000"/>
                        </a:gradFill>
                        <a:ln w="12600">
                          <a:solidFill>
                            <a:srgbClr val="4EA72E"/>
                          </a:solidFill>
                          <a:miter/>
                        </a:ln>
                        <a:effectLst>
                          <a:outerShdw dist="25630" dir="3633274" rotWithShape="0">
                            <a:srgbClr val="265317"/>
                          </a:outerShdw>
                        </a:effectLst>
                      </wps:spPr>
                      <wps:style>
                        <a:lnRef idx="0"/>
                        <a:fillRef idx="0"/>
                        <a:effectRef idx="0"/>
                        <a:fontRef idx="minor"/>
                      </wps:style>
                      <wps:bodyPr/>
                    </wps:wsp>
                  </a:graphicData>
                </a:graphic>
              </wp:anchor>
            </w:drawing>
          </mc:Choice>
          <mc:Fallback>
            <w:pict>
              <v:shapetype id="_x0000_t68" coordsize="21600,21600" o:spt="68" adj="10800,10800" path="m0@3l10800,l21600@3l@6@3l@6,21600l@5,21600l@5@3xe">
                <v:stroke joinstyle="miter"/>
                <v:formulas>
                  <v:f eqn="val 21600"/>
                  <v:f eqn="val #1"/>
                  <v:f eqn="val #0"/>
                  <v:f eqn="sum 0 @2 0"/>
                  <v:f eqn="prod 1 @1 2"/>
                  <v:f eqn="sum 10800 0 @4"/>
                  <v:f eqn="sum 10800 @4 0"/>
                  <v:f eqn="prod @5 @2 10800"/>
                  <v:f eqn="sum @3 0 @7"/>
                </v:formulas>
                <v:path gradientshapeok="t" o:connecttype="rect" textboxrect="@5,@8,@6,21600"/>
                <v:handles>
                  <v:h position="@5,21600"/>
                  <v:h position="0,@3"/>
                </v:handles>
              </v:shapetype>
              <v:shape id="shape_0" fillcolor="#4ea72e" stroked="t" o:allowincell="f" style="position:absolute;margin-left:85.05pt;margin-top:12.35pt;width:59.2pt;height:80.2pt;mso-wrap-style:none;v-text-anchor:middle" type="_x0000_t68">
                <v:fill o:detectmouseclick="t" color2="#8dd873"/>
                <v:stroke color="#4ea72e" weight="12600" joinstyle="miter" endcap="flat"/>
                <v:shadow on="t" obscured="f" color="#265317"/>
                <w10:wrap type="none"/>
              </v:shape>
            </w:pict>
          </mc:Fallback>
        </mc:AlternateContent>
      </w:r>
    </w:p>
    <w:p>
      <w:pPr>
        <w:pStyle w:val="BodyText"/>
        <w:rPr>
          <w:i/>
          <w:szCs w:val="26"/>
        </w:rPr>
      </w:pPr>
      <w:r>
        <w:rPr>
          <w:i/>
          <w:szCs w:val="26"/>
        </w:rPr>
      </w:r>
    </w:p>
    <w:p>
      <w:pPr>
        <w:pStyle w:val="BodyText"/>
        <w:rPr>
          <w:i/>
          <w:szCs w:val="26"/>
        </w:rPr>
      </w:pPr>
      <w:r>
        <w:rPr>
          <w:i/>
          <w:szCs w:val="26"/>
        </w:rPr>
      </w:r>
    </w:p>
    <w:p>
      <w:pPr>
        <w:pStyle w:val="BodyText"/>
        <w:rPr>
          <w:i/>
          <w:szCs w:val="26"/>
        </w:rPr>
      </w:pPr>
      <w:r>
        <w:rPr>
          <w:i/>
          <w:szCs w:val="26"/>
        </w:rPr>
      </w:r>
    </w:p>
    <w:p>
      <w:pPr>
        <w:pStyle w:val="BodyText"/>
        <w:rPr>
          <w:i/>
          <w:szCs w:val="26"/>
        </w:rPr>
      </w:pPr>
      <w:r>
        <w:rPr>
          <w:i/>
          <w:szCs w:val="26"/>
        </w:rPr>
      </w:r>
    </w:p>
    <w:p>
      <w:pPr>
        <w:pStyle w:val="BodyText"/>
        <w:rPr>
          <w:i/>
          <w:szCs w:val="26"/>
        </w:rPr>
      </w:pPr>
      <w:r>
        <w:rPr>
          <w:i/>
          <w:szCs w:val="26"/>
        </w:rPr>
      </w:r>
    </w:p>
    <w:p>
      <w:pPr>
        <w:pStyle w:val="BodyText"/>
        <w:rPr>
          <w:i/>
          <w:szCs w:val="26"/>
        </w:rPr>
      </w:pPr>
      <w:r>
        <w:rPr>
          <w:i/>
          <w:szCs w:val="26"/>
        </w:rPr>
      </w:r>
    </w:p>
    <w:p>
      <w:pPr>
        <w:pStyle w:val="BodyText"/>
        <w:rPr>
          <w:i/>
          <w:szCs w:val="26"/>
        </w:rPr>
      </w:pPr>
      <w:r>
        <w:rPr>
          <w:i/>
          <w:szCs w:val="26"/>
        </w:rPr>
      </w:r>
    </w:p>
    <w:p>
      <w:pPr>
        <w:pStyle w:val="BodyText"/>
        <w:rPr/>
      </w:pPr>
      <w:r>
        <w:rPr>
          <w:i/>
          <w:szCs w:val="26"/>
        </w:rPr>
        <w:t xml:space="preserve">Iz gore navedenih tablica je očito da </w:t>
      </w:r>
      <w:r>
        <w:rPr>
          <w:b/>
          <w:i/>
          <w:szCs w:val="26"/>
        </w:rPr>
        <w:t>Čistoća d.o.o.</w:t>
      </w:r>
      <w:r>
        <w:rPr>
          <w:i/>
          <w:szCs w:val="26"/>
        </w:rPr>
        <w:t xml:space="preserve"> </w:t>
      </w:r>
      <w:r>
        <w:rPr>
          <w:b/>
          <w:i/>
          <w:szCs w:val="26"/>
        </w:rPr>
        <w:t>Split trenutno ima uvjerljivo najnižu cijenu</w:t>
      </w:r>
      <w:r>
        <w:rPr>
          <w:i/>
          <w:szCs w:val="26"/>
        </w:rPr>
        <w:t xml:space="preserve"> za uslugu prikupljanja, prijevoza i odlaganja komunalnog otpada.</w:t>
      </w:r>
    </w:p>
    <w:p>
      <w:pPr>
        <w:pStyle w:val="BodyText"/>
        <w:rPr>
          <w:i/>
          <w:szCs w:val="26"/>
        </w:rPr>
      </w:pPr>
      <w:r>
        <w:rPr>
          <w:i/>
          <w:szCs w:val="26"/>
        </w:rPr>
      </w:r>
    </w:p>
    <w:p>
      <w:pPr>
        <w:pStyle w:val="BodyText"/>
        <w:rPr/>
      </w:pPr>
      <w:r>
        <w:rPr>
          <w:i/>
          <w:szCs w:val="26"/>
        </w:rPr>
        <w:t xml:space="preserve">Važno je za napomenuti da svi gore navedeni gradovi su već povećali ili u budućnosti namjeravaju dodatno povećavati cijenu ove usluge, s obzirom na obveze koje nalaže Zakon gospodarenju otpadom. </w:t>
      </w:r>
    </w:p>
    <w:p>
      <w:pPr>
        <w:pStyle w:val="BodyText"/>
        <w:rPr>
          <w:i/>
          <w:szCs w:val="26"/>
        </w:rPr>
      </w:pPr>
      <w:r>
        <w:rPr>
          <w:i/>
          <w:szCs w:val="26"/>
        </w:rPr>
      </w:r>
    </w:p>
    <w:p>
      <w:pPr>
        <w:pStyle w:val="Normal"/>
        <w:rPr>
          <w:i/>
          <w:sz w:val="8"/>
          <w:szCs w:val="26"/>
        </w:rPr>
      </w:pPr>
      <w:r>
        <w:rPr>
          <w:i/>
          <w:sz w:val="8"/>
          <w:szCs w:val="26"/>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Normal"/>
        <w:rPr>
          <w:sz w:val="8"/>
        </w:rPr>
      </w:pPr>
      <w:r>
        <w:rPr>
          <w:sz w:val="8"/>
        </w:rPr>
      </w:r>
    </w:p>
    <w:p>
      <w:pPr>
        <w:pStyle w:val="BodyText"/>
        <w:rPr/>
      </w:pPr>
      <w:r>
        <w:rPr>
          <w:b/>
          <w:i/>
          <w:sz w:val="36"/>
          <w:szCs w:val="36"/>
        </w:rPr>
        <w:t xml:space="preserve">4.    CIJENA ZA KOLIČINI PREDANOG MIJEŠANOG </w:t>
      </w:r>
    </w:p>
    <w:p>
      <w:pPr>
        <w:pStyle w:val="BodyText"/>
        <w:rPr>
          <w:b/>
          <w:i/>
          <w:sz w:val="36"/>
          <w:szCs w:val="36"/>
        </w:rPr>
      </w:pPr>
      <w:r>
        <w:rPr>
          <w:b/>
          <w:i/>
          <w:sz w:val="36"/>
          <w:szCs w:val="36"/>
        </w:rPr>
        <w:t xml:space="preserve">       </w:t>
      </w:r>
      <w:r>
        <w:rPr>
          <w:b/>
          <w:i/>
          <w:sz w:val="36"/>
          <w:szCs w:val="36"/>
        </w:rPr>
        <w:t>KOMUNALNOG OTPADA</w:t>
      </w:r>
    </w:p>
    <w:p>
      <w:pPr>
        <w:pStyle w:val="BodyText"/>
        <w:rPr>
          <w:b/>
          <w:i/>
          <w:sz w:val="36"/>
          <w:szCs w:val="36"/>
        </w:rPr>
      </w:pPr>
      <w:r>
        <w:rPr>
          <w:b/>
          <w:i/>
          <w:sz w:val="36"/>
          <w:szCs w:val="36"/>
        </w:rPr>
      </w:r>
    </w:p>
    <w:p>
      <w:pPr>
        <w:pStyle w:val="BodyText"/>
        <w:rPr>
          <w:b/>
          <w:i/>
          <w:sz w:val="36"/>
          <w:szCs w:val="36"/>
        </w:rPr>
      </w:pPr>
      <w:r>
        <w:rPr>
          <w:b/>
          <w:i/>
          <w:sz w:val="36"/>
          <w:szCs w:val="36"/>
        </w:rPr>
      </w:r>
    </w:p>
    <w:p>
      <w:pPr>
        <w:pStyle w:val="BodyText"/>
        <w:rPr/>
      </w:pPr>
      <w:r>
        <w:rPr>
          <w:i/>
          <w:iCs/>
        </w:rPr>
        <w:t xml:space="preserve">Omjer cijene za količinu predanog miješanog komunalnog otpada i cijene obvezne minimalne javne usluge u cijeni javne usluge određen je na način koji osigurava obavljanje javne usluge na kvalitetan, postojan i ekonomski učinkovit način, te izbjegava neopravdano visoke troškove, u skladu s načelima održivog razvoja, zaštite okoliša, javnost rada i načela onečišćivač plaća, čime se osigurava i potiče odvojeno sakupljanje otpada, te je motivirajući za korisnike u smislu odvojenog prikupljanja otpada. </w:t>
      </w:r>
    </w:p>
    <w:p>
      <w:pPr>
        <w:pStyle w:val="BodyText"/>
        <w:rPr>
          <w:i/>
          <w:iCs/>
        </w:rPr>
      </w:pPr>
      <w:r>
        <w:rPr>
          <w:i/>
          <w:iCs/>
        </w:rPr>
      </w:r>
    </w:p>
    <w:p>
      <w:pPr>
        <w:pStyle w:val="BodyText"/>
        <w:rPr/>
      </w:pPr>
      <w:r>
        <w:rPr>
          <w:b/>
          <w:bCs/>
          <w:i/>
          <w:iCs/>
        </w:rPr>
        <w:t xml:space="preserve">Cijena za količinu predanog miješanog komunalnog otpada za kategoriju kućanstvo i kategoriju korisnika koja nije kućanstvo trenutno iznosi </w:t>
      </w:r>
    </w:p>
    <w:p>
      <w:pPr>
        <w:pStyle w:val="BodyText"/>
        <w:rPr>
          <w:b/>
          <w:bCs/>
          <w:i/>
          <w:iCs/>
        </w:rPr>
      </w:pPr>
      <w:r>
        <w:rPr>
          <w:b/>
          <w:bCs/>
          <w:i/>
          <w:iCs/>
          <w:u w:val="single"/>
        </w:rPr>
        <w:t>0,013 eura po litri zaduženog spremnika i</w:t>
      </w:r>
      <w:r>
        <w:rPr>
          <w:b/>
          <w:bCs/>
          <w:i/>
          <w:iCs/>
        </w:rPr>
        <w:t xml:space="preserve"> trenutno ostaje na istom nivou.</w:t>
      </w:r>
    </w:p>
    <w:p>
      <w:pPr>
        <w:pStyle w:val="BodyText"/>
        <w:rPr>
          <w:b/>
          <w:bCs/>
          <w:i/>
          <w:iCs/>
        </w:rPr>
      </w:pPr>
      <w:r>
        <w:rPr>
          <w:b/>
          <w:bCs/>
          <w:i/>
          <w:iCs/>
        </w:rPr>
      </w:r>
    </w:p>
    <w:p>
      <w:pPr>
        <w:pStyle w:val="BodyText"/>
        <w:rPr>
          <w:i/>
          <w:iCs/>
        </w:rPr>
      </w:pPr>
      <w:r>
        <w:rPr>
          <w:i/>
          <w:iCs/>
        </w:rPr>
        <w:t xml:space="preserve">Sukladno najboljoj europskoj praksi trenutni omjer fiksnog i varijabilnog dijela računa za spremnik 120 L iznosi 56%:44%, dok je za spremnik 240 litara taj omjer 38%:62%, čime smo ispunili sva načela propisana člankom 75. st. 5. Zakona. </w:t>
      </w:r>
    </w:p>
    <w:p>
      <w:pPr>
        <w:pStyle w:val="BodyText"/>
        <w:rPr>
          <w:i/>
          <w:iCs/>
        </w:rPr>
      </w:pPr>
      <w:r>
        <w:rPr>
          <w:i/>
          <w:iCs/>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t>USPOREDBA MJESEČNOG RAČUNA PO NOVOM I STAROM OBRAČUNU NA PRIMJERU PROSJEČNOG KUĆANSTVA</w:t>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r>
    </w:p>
    <w:p>
      <w:pPr>
        <w:pStyle w:val="Normal"/>
        <w:rPr>
          <w:rFonts w:ascii="Arial" w:hAnsi="Arial" w:cs="Arial"/>
          <w:i/>
          <w:iCs/>
        </w:rPr>
      </w:pPr>
      <w:bookmarkStart w:id="2" w:name="_Hlk86705869"/>
      <w:r>
        <w:rPr/>
        <w:drawing>
          <wp:inline distT="0" distB="0" distL="0" distR="0">
            <wp:extent cx="6117590" cy="2856230"/>
            <wp:effectExtent l="0" t="0" r="0" b="0"/>
            <wp:docPr id="6"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pic:cNvPicPr>
                      <a:picLocks noChangeAspect="1" noChangeArrowheads="1"/>
                    </pic:cNvPicPr>
                  </pic:nvPicPr>
                  <pic:blipFill>
                    <a:blip r:embed="rId5"/>
                    <a:srcRect l="-3" t="-12" r="-3" b="-12"/>
                    <a:stretch>
                      <a:fillRect/>
                    </a:stretch>
                  </pic:blipFill>
                  <pic:spPr bwMode="auto">
                    <a:xfrm>
                      <a:off x="0" y="0"/>
                      <a:ext cx="6117590" cy="2856230"/>
                    </a:xfrm>
                    <a:prstGeom prst="rect">
                      <a:avLst/>
                    </a:prstGeom>
                    <a:noFill/>
                  </pic:spPr>
                </pic:pic>
              </a:graphicData>
            </a:graphic>
          </wp:inline>
        </w:drawing>
      </w:r>
    </w:p>
    <w:p>
      <w:pPr>
        <w:pStyle w:val="Normal"/>
        <w:rPr>
          <w:rFonts w:ascii="Arial" w:hAnsi="Arial" w:cs="Arial"/>
          <w:i/>
          <w:iCs/>
        </w:rPr>
      </w:pPr>
      <w:r>
        <w:rPr>
          <w:rFonts w:cs="Arial" w:ascii="Arial" w:hAnsi="Arial"/>
          <w:i/>
          <w:iCs/>
        </w:rPr>
      </w:r>
      <w:bookmarkEnd w:id="2"/>
    </w:p>
    <w:p>
      <w:pPr>
        <w:pStyle w:val="Normal"/>
        <w:spacing w:lineRule="auto" w:line="257" w:before="0" w:after="160"/>
        <w:rPr/>
      </w:pPr>
      <w:r>
        <w:rPr>
          <w:rFonts w:eastAsia="Calibri" w:cs="Arial" w:ascii="Arial" w:hAnsi="Arial"/>
          <w:i/>
          <w:iCs/>
          <w:kern w:val="2"/>
          <w:sz w:val="26"/>
          <w:szCs w:val="26"/>
          <w:lang w:eastAsia="en-US"/>
        </w:rPr>
        <w:t xml:space="preserve">U gornjim tablicama je prikazana analitika povećanja ukupnog mjesečnog računa za kućanstva od 1 do 4 člana za varijantu povećanja cijene obvezne javne usluge sa trenutnih 3,98 </w:t>
      </w:r>
      <w:bookmarkStart w:id="3" w:name="_Hlk210004155"/>
      <w:r>
        <w:rPr>
          <w:rFonts w:eastAsia="Calibri" w:cs="Arial" w:ascii="Arial" w:hAnsi="Arial"/>
          <w:i/>
          <w:iCs/>
          <w:kern w:val="2"/>
          <w:sz w:val="26"/>
          <w:szCs w:val="26"/>
          <w:lang w:eastAsia="en-US"/>
        </w:rPr>
        <w:t>€</w:t>
      </w:r>
      <w:bookmarkEnd w:id="3"/>
      <w:r>
        <w:rPr>
          <w:rFonts w:eastAsia="Calibri" w:cs="Arial" w:ascii="Arial" w:hAnsi="Arial"/>
          <w:i/>
          <w:iCs/>
          <w:kern w:val="2"/>
          <w:sz w:val="26"/>
          <w:szCs w:val="26"/>
          <w:lang w:eastAsia="en-US"/>
        </w:rPr>
        <w:t xml:space="preserve"> na 12,42 €.</w:t>
      </w:r>
    </w:p>
    <w:p>
      <w:pPr>
        <w:pStyle w:val="Normal"/>
        <w:spacing w:lineRule="auto" w:line="257" w:before="0" w:after="160"/>
        <w:rPr>
          <w:rFonts w:ascii="Arial" w:hAnsi="Arial" w:eastAsia="Calibri" w:cs="Arial"/>
          <w:i/>
          <w:iCs/>
          <w:kern w:val="2"/>
          <w:sz w:val="26"/>
          <w:szCs w:val="26"/>
          <w:lang w:val="en-US" w:eastAsia="en-US"/>
        </w:rPr>
      </w:pPr>
      <w:r>
        <w:rPr>
          <w:rFonts w:eastAsia="Calibri" w:cs="Arial" w:ascii="Arial" w:hAnsi="Arial"/>
          <w:i/>
          <w:iCs/>
          <w:kern w:val="2"/>
          <w:sz w:val="26"/>
          <w:szCs w:val="26"/>
          <w:lang w:val="en-US" w:eastAsia="en-US"/>
        </w:rPr>
        <mc:AlternateContent>
          <mc:Choice Requires="wps">
            <w:drawing>
              <wp:anchor distT="0" distB="0" distL="114935" distR="114935" simplePos="0" relativeHeight="8" behindDoc="0" locked="0" layoutInCell="0" allowOverlap="1">
                <wp:simplePos x="0" y="0"/>
                <wp:positionH relativeFrom="margin">
                  <wp:posOffset>1666240</wp:posOffset>
                </wp:positionH>
                <wp:positionV relativeFrom="paragraph">
                  <wp:posOffset>263525</wp:posOffset>
                </wp:positionV>
                <wp:extent cx="2247900" cy="1104900"/>
                <wp:effectExtent l="9525" t="9525" r="10160" b="14605"/>
                <wp:wrapNone/>
                <wp:docPr id="7" name="Oblačić: strelica prema dolje 7"/>
                <a:graphic xmlns:a="http://schemas.openxmlformats.org/drawingml/2006/main">
                  <a:graphicData uri="http://schemas.microsoft.com/office/word/2010/wordprocessingShape">
                    <wps:wsp>
                      <wps:cNvSpPr/>
                      <wps:spPr>
                        <a:xfrm>
                          <a:off x="0" y="0"/>
                          <a:ext cx="2247840" cy="1104840"/>
                        </a:xfrm>
                        <a:prstGeom prst="downArrowCallout">
                          <a:avLst>
                            <a:gd name="adj1" fmla="val 25001"/>
                            <a:gd name="adj2" fmla="val 24998"/>
                            <a:gd name="adj3" fmla="val 25000"/>
                            <a:gd name="adj4" fmla="val 64977"/>
                          </a:avLst>
                        </a:prstGeom>
                        <a:noFill/>
                        <a:ln w="19080">
                          <a:solidFill>
                            <a:srgbClr val="00B050"/>
                          </a:solidFill>
                          <a:miter/>
                        </a:ln>
                      </wps:spPr>
                      <wps:style>
                        <a:lnRef idx="0"/>
                        <a:fillRef idx="0"/>
                        <a:effectRef idx="0"/>
                        <a:fontRef idx="minor"/>
                      </wps:style>
                      <wps:txbx>
                        <w:txbxContent>
                          <w:p>
                            <w:pPr>
                              <w:overflowPunct w:val="false"/>
                              <w:bidi w:val="0"/>
                              <w:jc w:val="center"/>
                              <w:rPr/>
                            </w:pPr>
                            <w:r>
                              <w:rPr>
                                <w:rFonts w:ascii="Arial" w:hAnsi="Arial" w:eastAsia="Times New Roman" w:cs="Arial"/>
                                <w:b/>
                                <w:bCs/>
                                <w:i/>
                                <w:iCs/>
                                <w:color w:val="000000"/>
                                <w:kern w:val="2"/>
                                <w:sz w:val="24"/>
                                <w:szCs w:val="24"/>
                                <w:lang w:val="en-GB" w:bidi="ar-SA"/>
                              </w:rPr>
                              <w:t xml:space="preserve">SVIM KORISNICIMA IZ KATEGORIJE KUĆANSTVA JE POVEĆANJE ISTO </w:t>
                            </w:r>
                          </w:p>
                        </w:txbxContent>
                      </wps:txbx>
                      <wps:bodyPr anchor="ctr">
                        <a:noAutofit/>
                      </wps:bodyPr>
                    </wps:wsp>
                  </a:graphicData>
                </a:graphic>
              </wp:anchor>
            </w:drawing>
          </mc:Choice>
          <mc:Fallback>
            <w:pict>
              <v:shapetype id="_x0000_t80" coordsize="21600,21600" o:spt="80" adj="14035,5400,5400,5400" path="m,l21600,l21600@7l@11@7l@11@13l@12@13l10800,21600l@9@13l@10@13l@10@7l0@7xe">
                <v:stroke joinstyle="miter"/>
                <v:formulas>
                  <v:f eqn="val 10800"/>
                  <v:f eqn="val #2"/>
                  <v:f eqn="prod @1 2 1"/>
                  <v:f eqn="val #3"/>
                  <v:f eqn="val 21600"/>
                  <v:f eqn="val #1"/>
                  <v:f eqn="sum 21600 0 @5"/>
                  <v:f eqn="val #0"/>
                  <v:f eqn="prod 1 @3 2"/>
                  <v:f eqn="sum 10800 0 @1"/>
                  <v:f eqn="sum 10800 0 @8"/>
                  <v:f eqn="sum 10800 @8 0"/>
                  <v:f eqn="sum 10800 @1 0"/>
                  <v:f eqn="sum height 0 @5"/>
                  <v:f eqn="prod @7 1 2"/>
                </v:formulas>
                <v:path gradientshapeok="t" o:connecttype="rect" textboxrect="0,0,21600,@7"/>
                <v:handles>
                  <v:h position="@10,@13"/>
                  <v:h position="@9,21600"/>
                  <v:h position="21600,@13"/>
                  <v:h position="0,@7"/>
                </v:handles>
              </v:shapetype>
              <v:shape id="shape_0" stroked="t" o:allowincell="f" style="position:absolute;margin-left:131.2pt;margin-top:20.75pt;width:176.95pt;height:86.95pt;mso-wrap-style:square;v-text-anchor:middle;mso-position-horizontal-relative:margin" type="_x0000_t80">
                <v:textbox>
                  <w:txbxContent>
                    <w:p>
                      <w:pPr>
                        <w:overflowPunct w:val="false"/>
                        <w:bidi w:val="0"/>
                        <w:jc w:val="center"/>
                        <w:rPr/>
                      </w:pPr>
                      <w:r>
                        <w:rPr>
                          <w:rFonts w:ascii="Arial" w:hAnsi="Arial" w:eastAsia="Times New Roman" w:cs="Arial"/>
                          <w:b/>
                          <w:bCs/>
                          <w:i/>
                          <w:iCs/>
                          <w:color w:val="000000"/>
                          <w:kern w:val="2"/>
                          <w:sz w:val="24"/>
                          <w:szCs w:val="24"/>
                          <w:lang w:val="en-GB" w:bidi="ar-SA"/>
                        </w:rPr>
                        <w:t xml:space="preserve">SVIM KORISNICIMA IZ KATEGORIJE KUĆANSTVA JE POVEĆANJE ISTO </w:t>
                      </w:r>
                    </w:p>
                  </w:txbxContent>
                </v:textbox>
                <v:fill o:detectmouseclick="t" on="false"/>
                <v:stroke color="#00b050" weight="19080" joinstyle="miter" endcap="flat"/>
                <w10:wrap type="none"/>
              </v:shape>
            </w:pict>
          </mc:Fallback>
        </mc:AlternateContent>
      </w:r>
    </w:p>
    <w:p>
      <w:pPr>
        <w:pStyle w:val="Normal"/>
        <w:spacing w:lineRule="auto" w:line="257" w:before="0" w:after="160"/>
        <w:rPr>
          <w:rFonts w:ascii="Arial" w:hAnsi="Arial" w:eastAsia="Calibri" w:cs="Arial"/>
          <w:i/>
          <w:iCs/>
          <w:kern w:val="2"/>
          <w:sz w:val="22"/>
          <w:szCs w:val="22"/>
          <w:lang w:eastAsia="en-US"/>
        </w:rPr>
      </w:pPr>
      <w:r>
        <w:rPr>
          <w:rFonts w:eastAsia="Calibri" w:cs="Arial" w:ascii="Arial" w:hAnsi="Arial"/>
          <w:i/>
          <w:iCs/>
          <w:kern w:val="2"/>
          <w:sz w:val="22"/>
          <w:szCs w:val="22"/>
          <w:lang w:eastAsia="en-US"/>
        </w:rPr>
      </w:r>
    </w:p>
    <w:p>
      <w:pPr>
        <w:pStyle w:val="Normal"/>
        <w:spacing w:lineRule="auto" w:line="257" w:before="0" w:after="160"/>
        <w:rPr>
          <w:rFonts w:ascii="Arial" w:hAnsi="Arial" w:eastAsia="Calibri" w:cs="Arial"/>
          <w:i/>
          <w:iCs/>
          <w:kern w:val="2"/>
          <w:sz w:val="22"/>
          <w:szCs w:val="22"/>
          <w:lang w:eastAsia="en-US"/>
        </w:rPr>
      </w:pPr>
      <w:r>
        <w:rPr>
          <w:rFonts w:eastAsia="Calibri" w:cs="Arial" w:ascii="Arial" w:hAnsi="Arial"/>
          <w:i/>
          <w:iCs/>
          <w:kern w:val="2"/>
          <w:sz w:val="22"/>
          <w:szCs w:val="22"/>
          <w:lang w:eastAsia="en-US"/>
        </w:rPr>
      </w:r>
    </w:p>
    <w:p>
      <w:pPr>
        <w:pStyle w:val="Normal"/>
        <w:spacing w:lineRule="auto" w:line="257" w:before="0" w:after="160"/>
        <w:rPr>
          <w:rFonts w:ascii="Arial" w:hAnsi="Arial" w:eastAsia="Calibri" w:cs="Arial"/>
          <w:i/>
          <w:iCs/>
          <w:kern w:val="2"/>
          <w:sz w:val="22"/>
          <w:szCs w:val="22"/>
          <w:lang w:eastAsia="en-US"/>
        </w:rPr>
      </w:pPr>
      <w:r>
        <w:rPr>
          <w:rFonts w:eastAsia="Calibri" w:cs="Arial" w:ascii="Arial" w:hAnsi="Arial"/>
          <w:i/>
          <w:iCs/>
          <w:kern w:val="2"/>
          <w:sz w:val="22"/>
          <w:szCs w:val="22"/>
          <w:lang w:eastAsia="en-US"/>
        </w:rPr>
      </w:r>
    </w:p>
    <w:p>
      <w:pPr>
        <w:pStyle w:val="Normal"/>
        <w:spacing w:lineRule="auto" w:line="257" w:before="0" w:after="160"/>
        <w:rPr>
          <w:rFonts w:ascii="Arial" w:hAnsi="Arial" w:eastAsia="Calibri" w:cs="Arial"/>
          <w:b/>
          <w:bCs/>
          <w:i/>
          <w:iCs/>
          <w:kern w:val="2"/>
          <w:sz w:val="22"/>
          <w:szCs w:val="22"/>
          <w:lang w:eastAsia="en-US"/>
        </w:rPr>
      </w:pPr>
      <w:r>
        <w:rPr>
          <w:rFonts w:eastAsia="Calibri" w:cs="Arial" w:ascii="Arial" w:hAnsi="Arial"/>
          <w:b/>
          <w:bCs/>
          <w:i/>
          <w:iCs/>
          <w:kern w:val="2"/>
          <w:sz w:val="22"/>
          <w:szCs w:val="22"/>
          <w:lang w:eastAsia="en-US"/>
        </w:rPr>
      </w:r>
    </w:p>
    <w:p>
      <w:pPr>
        <w:pStyle w:val="Normal"/>
        <w:spacing w:lineRule="auto" w:line="257" w:before="0" w:after="160"/>
        <w:rPr>
          <w:rFonts w:ascii="Arial" w:hAnsi="Arial" w:eastAsia="Calibri" w:cs="Arial"/>
          <w:b/>
          <w:bCs/>
          <w:i/>
          <w:iCs/>
          <w:kern w:val="2"/>
          <w:sz w:val="22"/>
          <w:szCs w:val="22"/>
          <w:lang w:val="en-US" w:eastAsia="en-US"/>
        </w:rPr>
      </w:pPr>
      <w:r>
        <w:rPr>
          <w:rFonts w:eastAsia="Calibri" w:cs="Arial" w:ascii="Arial" w:hAnsi="Arial"/>
          <w:b/>
          <w:bCs/>
          <w:i/>
          <w:iCs/>
          <w:kern w:val="2"/>
          <w:sz w:val="22"/>
          <w:szCs w:val="22"/>
          <w:lang w:val="en-US" w:eastAsia="en-US"/>
        </w:rPr>
        <mc:AlternateContent>
          <mc:Choice Requires="wps">
            <w:drawing>
              <wp:anchor distT="0" distB="0" distL="114935" distR="114935" simplePos="0" relativeHeight="7" behindDoc="0" locked="0" layoutInCell="1" allowOverlap="1">
                <wp:simplePos x="0" y="0"/>
                <wp:positionH relativeFrom="column">
                  <wp:posOffset>1676400</wp:posOffset>
                </wp:positionH>
                <wp:positionV relativeFrom="paragraph">
                  <wp:posOffset>122555</wp:posOffset>
                </wp:positionV>
                <wp:extent cx="4210050" cy="621030"/>
                <wp:effectExtent l="14605" t="11430" r="12065" b="12065"/>
                <wp:wrapNone/>
                <wp:docPr id="8" name="Oblačić: strelica ulijevo 2"/>
                <a:graphic xmlns:a="http://schemas.openxmlformats.org/drawingml/2006/main">
                  <a:graphicData uri="http://schemas.microsoft.com/office/word/2010/wordprocessingShape">
                    <wps:wsp>
                      <wps:cNvSpPr/>
                      <wps:spPr>
                        <a:xfrm>
                          <a:off x="0" y="0"/>
                          <a:ext cx="4210200" cy="621000"/>
                        </a:xfrm>
                        <a:prstGeom prst="leftArrowCallout">
                          <a:avLst>
                            <a:gd name="adj1" fmla="val 25002"/>
                            <a:gd name="adj2" fmla="val 25000"/>
                            <a:gd name="adj3" fmla="val 19209"/>
                            <a:gd name="adj4" fmla="val 91754"/>
                          </a:avLst>
                        </a:prstGeom>
                        <a:noFill/>
                        <a:ln w="22320">
                          <a:solidFill>
                            <a:srgbClr val="00B050"/>
                          </a:solidFill>
                          <a:miter/>
                        </a:ln>
                      </wps:spPr>
                      <wps:style>
                        <a:lnRef idx="0"/>
                        <a:fillRef idx="0"/>
                        <a:effectRef idx="0"/>
                        <a:fontRef idx="minor"/>
                      </wps:style>
                      <wps:txbx>
                        <w:txbxContent>
                          <w:p>
                            <w:pPr>
                              <w:overflowPunct w:val="false"/>
                              <w:bidi w:val="0"/>
                              <w:jc w:val="center"/>
                              <w:rPr/>
                            </w:pPr>
                            <w:r>
                              <w:rPr>
                                <w:rFonts w:ascii="Arial" w:hAnsi="Arial" w:eastAsia="Times New Roman" w:cs="Arial"/>
                                <w:b/>
                                <w:bCs/>
                                <w:i/>
                                <w:iCs/>
                                <w:color w:val="000000"/>
                                <w:kern w:val="2"/>
                                <w:sz w:val="24"/>
                                <w:szCs w:val="24"/>
                                <w:u w:val="single"/>
                                <w:lang w:val="hr-HR" w:bidi="ar-SA"/>
                              </w:rPr>
                              <w:t>Ukupno</w:t>
                            </w:r>
                            <w:r>
                              <w:rPr>
                                <w:rFonts w:ascii="Arial" w:hAnsi="Arial" w:eastAsia="Times New Roman" w:cs="Arial"/>
                                <w:b/>
                                <w:bCs/>
                                <w:i/>
                                <w:iCs/>
                                <w:color w:val="000000"/>
                                <w:kern w:val="2"/>
                                <w:sz w:val="24"/>
                                <w:szCs w:val="24"/>
                                <w:lang w:val="hr-HR" w:bidi="ar-SA"/>
                              </w:rPr>
                              <w:t xml:space="preserve"> mjesečno povećanje računa od 9,54 eura (s PDV-om). </w:t>
                            </w:r>
                          </w:p>
                        </w:txbxContent>
                      </wps:txbx>
                      <wps:bodyPr anchor="ctr">
                        <a:noAutofit/>
                      </wps:bodyPr>
                    </wps:wsp>
                  </a:graphicData>
                </a:graphic>
              </wp:anchor>
            </w:drawing>
          </mc:Choice>
          <mc:Fallback>
            <w:pict>
              <v:shapetype id="_x0000_t77" coordsize="21600,21600" o:spt="77" adj="14035,5400,5400,5400" path="m,10800l@5@9l@5@10l@13@10l@13,l21600,l21600,21600l@13,21600l@13@11l@5@11l@5@12xe">
                <v:stroke joinstyle="miter"/>
                <v:formulas>
                  <v:f eqn="val 10800"/>
                  <v:f eqn="val #2"/>
                  <v:f eqn="prod @1 2 1"/>
                  <v:f eqn="val #3"/>
                  <v:f eqn="val 21600"/>
                  <v:f eqn="val #1"/>
                  <v:f eqn="sum 21600 0 @5"/>
                  <v:f eqn="val #0"/>
                  <v:f eqn="prod 1 @3 2"/>
                  <v:f eqn="sum 10800 0 @1"/>
                  <v:f eqn="sum 10800 0 @8"/>
                  <v:f eqn="sum 10800 @8 0"/>
                  <v:f eqn="sum 10800 @1 0"/>
                  <v:f eqn="sum width 0 @7"/>
                  <v:f eqn="sum @13 width 0"/>
                  <v:f eqn="prod 1 @14 2"/>
                </v:formulas>
                <v:path gradientshapeok="t" o:connecttype="rect" textboxrect="@13,0,21600,21600"/>
                <v:handles>
                  <v:h position="@5,@10"/>
                  <v:h position="0,@9"/>
                  <v:h position="@5,0"/>
                  <v:h position="@13,21600"/>
                </v:handles>
              </v:shapetype>
              <v:shape id="shape_0" stroked="t" o:allowincell="f" style="position:absolute;margin-left:132pt;margin-top:9.65pt;width:331.45pt;height:48.85pt;mso-wrap-style:square;v-text-anchor:middle" type="_x0000_t77">
                <v:textbox>
                  <w:txbxContent>
                    <w:p>
                      <w:pPr>
                        <w:overflowPunct w:val="false"/>
                        <w:bidi w:val="0"/>
                        <w:jc w:val="center"/>
                        <w:rPr/>
                      </w:pPr>
                      <w:r>
                        <w:rPr>
                          <w:rFonts w:ascii="Arial" w:hAnsi="Arial" w:eastAsia="Times New Roman" w:cs="Arial"/>
                          <w:b/>
                          <w:bCs/>
                          <w:i/>
                          <w:iCs/>
                          <w:color w:val="000000"/>
                          <w:kern w:val="2"/>
                          <w:sz w:val="24"/>
                          <w:szCs w:val="24"/>
                          <w:u w:val="single"/>
                          <w:lang w:val="hr-HR" w:bidi="ar-SA"/>
                        </w:rPr>
                        <w:t>Ukupno</w:t>
                      </w:r>
                      <w:r>
                        <w:rPr>
                          <w:rFonts w:ascii="Arial" w:hAnsi="Arial" w:eastAsia="Times New Roman" w:cs="Arial"/>
                          <w:b/>
                          <w:bCs/>
                          <w:i/>
                          <w:iCs/>
                          <w:color w:val="000000"/>
                          <w:kern w:val="2"/>
                          <w:sz w:val="24"/>
                          <w:szCs w:val="24"/>
                          <w:lang w:val="hr-HR" w:bidi="ar-SA"/>
                        </w:rPr>
                        <w:t xml:space="preserve"> mjesečno povećanje računa od 9,54 eura (s PDV-om). </w:t>
                      </w:r>
                    </w:p>
                  </w:txbxContent>
                </v:textbox>
                <v:fill o:detectmouseclick="t" on="false"/>
                <v:stroke color="#00b050" weight="22320" joinstyle="miter" endcap="flat"/>
                <w10:wrap type="none"/>
              </v:shape>
            </w:pict>
          </mc:Fallback>
        </mc:AlternateContent>
      </w:r>
    </w:p>
    <w:p>
      <w:pPr>
        <w:pStyle w:val="Normal"/>
        <w:spacing w:lineRule="auto" w:line="257" w:before="0" w:after="160"/>
        <w:rPr/>
      </w:pPr>
      <w:r>
        <mc:AlternateContent>
          <mc:Choice Requires="wps">
            <w:drawing>
              <wp:anchor distT="0" distB="0" distL="114935" distR="114935" simplePos="0" relativeHeight="6" behindDoc="0" locked="0" layoutInCell="1" allowOverlap="1">
                <wp:simplePos x="0" y="0"/>
                <wp:positionH relativeFrom="column">
                  <wp:posOffset>431800</wp:posOffset>
                </wp:positionH>
                <wp:positionV relativeFrom="paragraph">
                  <wp:posOffset>74930</wp:posOffset>
                </wp:positionV>
                <wp:extent cx="238760" cy="1270"/>
                <wp:effectExtent l="635" t="37465" r="0" b="38100"/>
                <wp:wrapNone/>
                <wp:docPr id="9" name="Ravni poveznik sa strelicom 1"/>
                <a:graphic xmlns:a="http://schemas.openxmlformats.org/drawingml/2006/main">
                  <a:graphicData uri="http://schemas.microsoft.com/office/word/2010/wordprocessingShape">
                    <wps:wsp>
                      <wps:cNvCnPr/>
                      <wps:spPr>
                        <a:xfrm>
                          <a:off x="0" y="0"/>
                          <a:ext cx="239400" cy="1800"/>
                        </a:xfrm>
                        <a:prstGeom prst="straightConnector1">
                          <a:avLst/>
                        </a:prstGeom>
                        <a:ln w="6480">
                          <a:solidFill>
                            <a:srgbClr val="4472C4"/>
                          </a:solidFill>
                          <a:miter/>
                          <a:tailEnd len="med" type="triangle" w="med"/>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34pt;margin-top:5.9pt;width:18.8pt;height:0.1pt" type="_x0000_t32">
                <v:stroke color="#4472c4" weight="6480" endarrow="block" endarrowwidth="medium" endarrowlength="medium" joinstyle="miter" endcap="flat"/>
                <v:fill o:detectmouseclick="t" on="false"/>
                <w10:wrap type="none"/>
              </v:shape>
            </w:pict>
          </mc:Fallback>
        </mc:AlternateContent>
      </w:r>
      <w:r>
        <w:rPr>
          <w:rFonts w:eastAsia="Calibri" w:cs="Arial" w:ascii="Arial" w:hAnsi="Arial"/>
          <w:b/>
          <w:bCs/>
          <w:i/>
          <w:iCs/>
          <w:kern w:val="2"/>
          <w:sz w:val="22"/>
          <w:szCs w:val="22"/>
          <w:lang w:eastAsia="en-US"/>
        </w:rPr>
        <w:t xml:space="preserve">3,98€          12,42 €       </w:t>
      </w:r>
    </w:p>
    <w:p>
      <w:pPr>
        <w:pStyle w:val="Normal"/>
        <w:spacing w:lineRule="auto" w:line="257" w:before="0" w:after="160"/>
        <w:rPr>
          <w:rFonts w:ascii="Arial" w:hAnsi="Arial" w:eastAsia="Calibri" w:cs="Arial"/>
          <w:b/>
          <w:bCs/>
          <w:i/>
          <w:iCs/>
          <w:kern w:val="2"/>
          <w:sz w:val="22"/>
          <w:szCs w:val="22"/>
          <w:lang w:eastAsia="en-US"/>
        </w:rPr>
      </w:pPr>
      <w:r>
        <mc:AlternateContent>
          <mc:Choice Requires="wps">
            <w:drawing>
              <wp:anchor distT="0" distB="0" distL="114935" distR="114935" simplePos="0" relativeHeight="9" behindDoc="0" locked="0" layoutInCell="1" allowOverlap="1">
                <wp:simplePos x="0" y="0"/>
                <wp:positionH relativeFrom="column">
                  <wp:posOffset>1386205</wp:posOffset>
                </wp:positionH>
                <wp:positionV relativeFrom="paragraph">
                  <wp:posOffset>7620</wp:posOffset>
                </wp:positionV>
                <wp:extent cx="619125" cy="857885"/>
                <wp:effectExtent l="33655" t="3175" r="0" b="0"/>
                <wp:wrapNone/>
                <wp:docPr id="10" name="Poveznik: zakrivljeno 8"/>
                <a:graphic xmlns:a="http://schemas.openxmlformats.org/drawingml/2006/main">
                  <a:graphicData uri="http://schemas.microsoft.com/office/word/2010/wordprocessingShape">
                    <wps:wsp>
                      <wps:cNvCnPr/>
                      <wps:spPr>
                        <a:xfrm flipH="1">
                          <a:off x="0" y="0"/>
                          <a:ext cx="619200" cy="858240"/>
                        </a:xfrm>
                        <a:prstGeom prst="straightConnector1">
                          <a:avLst/>
                        </a:prstGeom>
                        <a:ln w="6480">
                          <a:solidFill>
                            <a:srgbClr val="4472C4"/>
                          </a:solidFill>
                          <a:miter/>
                          <a:tailEnd len="med" type="triangle" w="med"/>
                        </a:ln>
                      </wps:spPr>
                      <wps:bodyPr/>
                    </wps:wsp>
                  </a:graphicData>
                </a:graphic>
              </wp:anchor>
            </w:drawing>
          </mc:Choice>
          <mc:Fallback>
            <w:pict>
              <v:shape id="shape_0" stroked="t" o:allowincell="f" style="position:absolute;margin-left:109.15pt;margin-top:0.6pt;width:48.65pt;height:67.55pt;flip:x" type="_x0000_t32">
                <v:stroke color="#4472c4" weight="6480" endarrow="block" endarrowwidth="medium" endarrowlength="medium" joinstyle="miter" endcap="flat"/>
                <v:fill o:detectmouseclick="t" on="false"/>
                <w10:wrap type="none"/>
              </v:shape>
            </w:pict>
          </mc:Fallback>
        </mc:AlternateContent>
      </w:r>
      <w:r>
        <w:rPr>
          <w:rFonts w:eastAsia="Calibri" w:cs="Arial" w:ascii="Arial" w:hAnsi="Arial"/>
          <w:b/>
          <w:bCs/>
          <w:i/>
          <w:iCs/>
          <w:kern w:val="2"/>
          <w:sz w:val="22"/>
          <w:szCs w:val="22"/>
          <w:lang w:eastAsia="en-US"/>
        </w:rPr>
        <w:t xml:space="preserve">  </w:t>
      </w:r>
      <w:r>
        <w:rPr>
          <w:rFonts w:eastAsia="Calibri" w:cs="Arial" w:ascii="Arial" w:hAnsi="Arial"/>
          <w:b/>
          <w:bCs/>
          <w:i/>
          <w:iCs/>
          <w:kern w:val="2"/>
          <w:sz w:val="22"/>
          <w:szCs w:val="22"/>
          <w:lang w:eastAsia="en-US"/>
        </w:rPr>
        <w:t>(bez PDV-a)</w:t>
      </w:r>
    </w:p>
    <w:p>
      <w:pPr>
        <w:pStyle w:val="Normal"/>
        <w:spacing w:lineRule="auto" w:line="257" w:before="0" w:after="160"/>
        <w:rPr>
          <w:rFonts w:ascii="Calibri" w:hAnsi="Calibri" w:eastAsia="Calibri" w:cs="Calibri"/>
          <w:b/>
          <w:bCs/>
          <w:i/>
          <w:iCs/>
          <w:kern w:val="2"/>
          <w:sz w:val="22"/>
          <w:szCs w:val="22"/>
          <w:lang w:eastAsia="en-US"/>
        </w:rPr>
      </w:pPr>
      <w:r>
        <w:rPr>
          <w:rFonts w:eastAsia="Calibri" w:cs="Calibri" w:ascii="Calibri" w:hAnsi="Calibri"/>
          <w:b/>
          <w:bCs/>
          <w:i/>
          <w:iCs/>
          <w:kern w:val="2"/>
          <w:sz w:val="22"/>
          <w:szCs w:val="22"/>
          <w:lang w:eastAsia="en-US"/>
        </w:rPr>
      </w:r>
    </w:p>
    <w:p>
      <w:pPr>
        <w:pStyle w:val="Normal"/>
        <w:tabs>
          <w:tab w:val="clear" w:pos="708"/>
          <w:tab w:val="left" w:pos="1110" w:leader="none"/>
        </w:tabs>
        <w:spacing w:lineRule="auto" w:line="257" w:before="0" w:after="160"/>
        <w:rPr>
          <w:rFonts w:ascii="Calibri" w:hAnsi="Calibri" w:eastAsia="Calibri" w:cs="Calibri"/>
          <w:kern w:val="2"/>
          <w:sz w:val="22"/>
          <w:szCs w:val="22"/>
          <w:lang w:eastAsia="en-US"/>
        </w:rPr>
      </w:pPr>
      <w:r>
        <w:rPr>
          <w:rFonts w:eastAsia="Calibri" w:cs="Calibri" w:ascii="Calibri" w:hAnsi="Calibri"/>
          <w:kern w:val="2"/>
          <w:sz w:val="22"/>
          <w:szCs w:val="22"/>
          <w:lang w:eastAsia="en-US"/>
        </w:rPr>
      </w:r>
    </w:p>
    <w:p>
      <w:pPr>
        <w:pStyle w:val="Normal"/>
        <w:tabs>
          <w:tab w:val="clear" w:pos="708"/>
          <w:tab w:val="left" w:pos="1110" w:leader="none"/>
        </w:tabs>
        <w:spacing w:lineRule="auto" w:line="257" w:before="0" w:after="160"/>
        <w:rPr/>
      </w:pPr>
      <w:r>
        <w:rPr>
          <w:rFonts w:eastAsia="Calibri" w:cs="Arial" w:ascii="Arial" w:hAnsi="Arial"/>
          <w:b/>
          <w:bCs/>
          <w:i/>
          <w:iCs/>
          <w:kern w:val="2"/>
          <w:sz w:val="22"/>
          <w:szCs w:val="22"/>
          <w:u w:val="single"/>
          <w:lang w:eastAsia="en-US"/>
        </w:rPr>
        <w:t>Ukupno mjesečno povećanje troška za kućanstvo zbog povećanja fiksnog dijela iznosi 9,54 eura.</w:t>
      </w:r>
    </w:p>
    <w:p>
      <w:pPr>
        <w:pStyle w:val="BodyText"/>
        <w:tabs>
          <w:tab w:val="clear" w:pos="708"/>
          <w:tab w:val="left" w:pos="3810" w:leader="none"/>
        </w:tabs>
        <w:rPr/>
      </w:pPr>
      <w:r>
        <w:rPr>
          <w:i/>
          <w:iCs/>
          <w:szCs w:val="26"/>
        </w:rPr>
        <w:t xml:space="preserve">Praktičnim prikazom cijene usluge odvoza komunalnog otpada za sva kućanstva, </w:t>
      </w:r>
      <w:r>
        <w:rPr>
          <w:i/>
          <w:iCs/>
        </w:rPr>
        <w:t>konkretno pokazuju da će promjena obračuna iz postojećeg obračuna u novi proći uz dodatno mjesečno opterećenja za budžet stanovništva u prosjeku od 9 eura mjesečno.</w:t>
      </w:r>
    </w:p>
    <w:p>
      <w:pPr>
        <w:pStyle w:val="BodyText"/>
        <w:tabs>
          <w:tab w:val="clear" w:pos="708"/>
          <w:tab w:val="left" w:pos="3810" w:leader="none"/>
        </w:tabs>
        <w:rPr>
          <w:i/>
          <w:iCs/>
        </w:rPr>
      </w:pPr>
      <w:r>
        <w:rPr>
          <w:i/>
          <w:iCs/>
        </w:rPr>
      </w:r>
    </w:p>
    <w:p>
      <w:pPr>
        <w:pStyle w:val="BodyText"/>
        <w:tabs>
          <w:tab w:val="clear" w:pos="708"/>
          <w:tab w:val="left" w:pos="3810" w:leader="none"/>
        </w:tabs>
        <w:rPr>
          <w:i/>
          <w:iCs/>
        </w:rPr>
      </w:pPr>
      <w:r>
        <w:rPr>
          <w:i/>
          <w:iCs/>
        </w:rPr>
      </w:r>
    </w:p>
    <w:p>
      <w:pPr>
        <w:pStyle w:val="BodyText"/>
        <w:rPr>
          <w:i/>
          <w:iCs/>
          <w:szCs w:val="26"/>
        </w:rPr>
      </w:pPr>
      <w:r>
        <w:rPr>
          <w:i/>
          <w:iCs/>
          <w:szCs w:val="26"/>
        </w:rPr>
      </w:r>
    </w:p>
    <w:p>
      <w:pPr>
        <w:pStyle w:val="BodyText"/>
        <w:tabs>
          <w:tab w:val="clear" w:pos="708"/>
          <w:tab w:val="left" w:pos="3810" w:leader="none"/>
        </w:tabs>
        <w:rPr>
          <w:b/>
          <w:bCs/>
          <w:i/>
          <w:iCs/>
          <w:szCs w:val="26"/>
        </w:rPr>
      </w:pPr>
      <w:r>
        <w:rPr>
          <w:b/>
          <w:bCs/>
          <w:i/>
          <w:iCs/>
          <w:szCs w:val="26"/>
        </w:rPr>
      </w:r>
    </w:p>
    <w:p>
      <w:pPr>
        <w:pStyle w:val="Header"/>
        <w:tabs>
          <w:tab w:val="clear" w:pos="4536"/>
          <w:tab w:val="clear" w:pos="9072"/>
          <w:tab w:val="left" w:pos="3810" w:leader="none"/>
        </w:tabs>
        <w:rPr>
          <w:rFonts w:ascii="Arial" w:hAnsi="Arial" w:cs="Arial"/>
          <w:b/>
          <w:bCs/>
          <w:i/>
          <w:iCs/>
          <w:color w:val="003300"/>
          <w:sz w:val="26"/>
          <w:u w:val="single"/>
        </w:rPr>
      </w:pPr>
      <w:r>
        <w:rPr>
          <w:rFonts w:cs="Arial" w:ascii="Arial" w:hAnsi="Arial"/>
          <w:b/>
          <w:bCs/>
          <w:i/>
          <w:iCs/>
          <w:color w:val="003300"/>
          <w:sz w:val="26"/>
          <w:u w:val="single"/>
        </w:rPr>
        <w:t>USPOREDBA MJESEČNOG RAČUNA PO NOVOM I STAROM OBRAČUNU ZA NEKUĆANSTVA</w:t>
      </w:r>
    </w:p>
    <w:p>
      <w:pPr>
        <w:pStyle w:val="BodyText"/>
        <w:tabs>
          <w:tab w:val="clear" w:pos="708"/>
          <w:tab w:val="left" w:pos="3810" w:leader="none"/>
        </w:tabs>
        <w:rPr>
          <w:rFonts w:ascii="Arial" w:hAnsi="Arial" w:cs="Arial"/>
          <w:b/>
          <w:bCs/>
          <w:i/>
          <w:iCs/>
          <w:color w:val="003300"/>
          <w:sz w:val="26"/>
          <w:u w:val="single"/>
        </w:rPr>
      </w:pPr>
      <w:r>
        <w:rPr>
          <w:rFonts w:cs="Arial"/>
          <w:b/>
          <w:bCs/>
          <w:i/>
          <w:iCs/>
          <w:color w:val="003300"/>
          <w:sz w:val="26"/>
          <w:u w:val="single"/>
        </w:rPr>
      </w:r>
    </w:p>
    <w:p>
      <w:pPr>
        <w:pStyle w:val="BodyText"/>
        <w:tabs>
          <w:tab w:val="clear" w:pos="708"/>
          <w:tab w:val="left" w:pos="3810" w:leader="none"/>
        </w:tabs>
        <w:rPr>
          <w:i/>
          <w:iCs/>
        </w:rPr>
      </w:pPr>
      <w:r>
        <w:rPr/>
        <w:drawing>
          <wp:inline distT="0" distB="0" distL="0" distR="0">
            <wp:extent cx="6174740" cy="2905125"/>
            <wp:effectExtent l="0" t="0" r="0" b="0"/>
            <wp:docPr id="1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
                    <pic:cNvPicPr>
                      <a:picLocks noChangeAspect="1" noChangeArrowheads="1"/>
                    </pic:cNvPicPr>
                  </pic:nvPicPr>
                  <pic:blipFill>
                    <a:blip r:embed="rId6"/>
                    <a:srcRect l="-4" t="-10" r="-4" b="-10"/>
                    <a:stretch>
                      <a:fillRect/>
                    </a:stretch>
                  </pic:blipFill>
                  <pic:spPr bwMode="auto">
                    <a:xfrm>
                      <a:off x="0" y="0"/>
                      <a:ext cx="6174740" cy="2905125"/>
                    </a:xfrm>
                    <a:prstGeom prst="rect">
                      <a:avLst/>
                    </a:prstGeom>
                    <a:noFill/>
                  </pic:spPr>
                </pic:pic>
              </a:graphicData>
            </a:graphic>
          </wp:inline>
        </w:drawing>
      </w:r>
    </w:p>
    <w:p>
      <w:pPr>
        <w:pStyle w:val="BodyText"/>
        <w:tabs>
          <w:tab w:val="clear" w:pos="708"/>
          <w:tab w:val="left" w:pos="3810" w:leader="none"/>
        </w:tabs>
        <w:rPr>
          <w:i/>
          <w:iCs/>
        </w:rPr>
      </w:pPr>
      <w:r>
        <w:rPr>
          <w:i/>
          <w:iCs/>
        </w:rPr>
      </w:r>
    </w:p>
    <w:p>
      <w:pPr>
        <w:pStyle w:val="Normal"/>
        <w:spacing w:lineRule="auto" w:line="257" w:before="0" w:after="160"/>
        <w:rPr/>
      </w:pPr>
      <w:r>
        <w:rPr>
          <w:rFonts w:eastAsia="Calibri" w:cs="Arial" w:ascii="Arial" w:hAnsi="Arial"/>
          <w:i/>
          <w:iCs/>
          <w:kern w:val="2"/>
          <w:sz w:val="26"/>
          <w:szCs w:val="26"/>
          <w:lang w:eastAsia="en-US"/>
        </w:rPr>
        <w:t>U gornjim tablicama je prikazana analitika povećanja ukupnog mjesečnog računa za nekućanstva s obzirom na veličinu spremnika koji koriste za varijantu povećanja cijene obvezne javne usluge sa trenutnih 13,27 € na 18,66 €.</w:t>
      </w:r>
    </w:p>
    <w:p>
      <w:pPr>
        <w:pStyle w:val="Normal"/>
        <w:spacing w:lineRule="auto" w:line="257" w:before="0" w:after="160"/>
        <w:rPr>
          <w:rFonts w:ascii="Arial" w:hAnsi="Arial" w:eastAsia="Calibri" w:cs="Arial"/>
          <w:i/>
          <w:iCs/>
          <w:kern w:val="2"/>
          <w:sz w:val="26"/>
          <w:szCs w:val="26"/>
          <w:lang w:val="en-US" w:eastAsia="en-US"/>
        </w:rPr>
      </w:pPr>
      <w:r>
        <w:rPr>
          <w:rFonts w:eastAsia="Calibri" w:cs="Arial" w:ascii="Arial" w:hAnsi="Arial"/>
          <w:i/>
          <w:iCs/>
          <w:kern w:val="2"/>
          <w:sz w:val="26"/>
          <w:szCs w:val="26"/>
          <w:lang w:val="en-US" w:eastAsia="en-US"/>
        </w:rPr>
        <mc:AlternateContent>
          <mc:Choice Requires="wps">
            <w:drawing>
              <wp:anchor distT="0" distB="0" distL="114935" distR="114935" simplePos="0" relativeHeight="30" behindDoc="0" locked="0" layoutInCell="0" allowOverlap="1">
                <wp:simplePos x="0" y="0"/>
                <wp:positionH relativeFrom="margin">
                  <wp:posOffset>1666240</wp:posOffset>
                </wp:positionH>
                <wp:positionV relativeFrom="paragraph">
                  <wp:posOffset>263525</wp:posOffset>
                </wp:positionV>
                <wp:extent cx="2466975" cy="1104900"/>
                <wp:effectExtent l="10160" t="9525" r="9525" b="13970"/>
                <wp:wrapNone/>
                <wp:docPr id="12" name="Oblačić: strelica prema dolje 7"/>
                <a:graphic xmlns:a="http://schemas.openxmlformats.org/drawingml/2006/main">
                  <a:graphicData uri="http://schemas.microsoft.com/office/word/2010/wordprocessingShape">
                    <wps:wsp>
                      <wps:cNvSpPr/>
                      <wps:spPr>
                        <a:xfrm>
                          <a:off x="0" y="0"/>
                          <a:ext cx="2467080" cy="1104840"/>
                        </a:xfrm>
                        <a:prstGeom prst="downArrowCallout">
                          <a:avLst>
                            <a:gd name="adj1" fmla="val 27439"/>
                            <a:gd name="adj2" fmla="val 27436"/>
                            <a:gd name="adj3" fmla="val 25000"/>
                            <a:gd name="adj4" fmla="val 64977"/>
                          </a:avLst>
                        </a:prstGeom>
                        <a:noFill/>
                        <a:ln w="19080">
                          <a:solidFill>
                            <a:srgbClr val="00B050"/>
                          </a:solidFill>
                          <a:miter/>
                        </a:ln>
                      </wps:spPr>
                      <wps:style>
                        <a:lnRef idx="0"/>
                        <a:fillRef idx="0"/>
                        <a:effectRef idx="0"/>
                        <a:fontRef idx="minor"/>
                      </wps:style>
                      <wps:txbx>
                        <w:txbxContent>
                          <w:p>
                            <w:pPr>
                              <w:overflowPunct w:val="false"/>
                              <w:bidi w:val="0"/>
                              <w:jc w:val="center"/>
                              <w:rPr/>
                            </w:pPr>
                            <w:r>
                              <w:rPr>
                                <w:rFonts w:ascii="Arial" w:hAnsi="Arial" w:eastAsia="Times New Roman" w:cs="Arial"/>
                                <w:b/>
                                <w:bCs/>
                                <w:i/>
                                <w:iCs/>
                                <w:color w:val="000000"/>
                                <w:kern w:val="2"/>
                                <w:sz w:val="24"/>
                                <w:szCs w:val="24"/>
                                <w:lang w:val="en-GB" w:bidi="ar-SA"/>
                              </w:rPr>
                              <w:t xml:space="preserve">SVIM KORISNICIMA IZ KATEGORIJE NEKUĆANSTVA JE POVEĆANJE ISTO </w:t>
                            </w:r>
                          </w:p>
                        </w:txbxContent>
                      </wps:txbx>
                      <wps:bodyPr anchor="ctr">
                        <a:noAutofit/>
                      </wps:bodyPr>
                    </wps:wsp>
                  </a:graphicData>
                </a:graphic>
              </wp:anchor>
            </w:drawing>
          </mc:Choice>
          <mc:Fallback>
            <w:pict>
              <v:shape id="shape_0" stroked="t" o:allowincell="f" style="position:absolute;margin-left:131.2pt;margin-top:20.75pt;width:194.2pt;height:86.95pt;mso-wrap-style:square;v-text-anchor:middle;mso-position-horizontal-relative:margin" type="_x0000_t80">
                <v:textbox>
                  <w:txbxContent>
                    <w:p>
                      <w:pPr>
                        <w:overflowPunct w:val="false"/>
                        <w:bidi w:val="0"/>
                        <w:jc w:val="center"/>
                        <w:rPr/>
                      </w:pPr>
                      <w:r>
                        <w:rPr>
                          <w:rFonts w:ascii="Arial" w:hAnsi="Arial" w:eastAsia="Times New Roman" w:cs="Arial"/>
                          <w:b/>
                          <w:bCs/>
                          <w:i/>
                          <w:iCs/>
                          <w:color w:val="000000"/>
                          <w:kern w:val="2"/>
                          <w:sz w:val="24"/>
                          <w:szCs w:val="24"/>
                          <w:lang w:val="en-GB" w:bidi="ar-SA"/>
                        </w:rPr>
                        <w:t xml:space="preserve">SVIM KORISNICIMA IZ KATEGORIJE NEKUĆANSTVA JE POVEĆANJE ISTO </w:t>
                      </w:r>
                    </w:p>
                  </w:txbxContent>
                </v:textbox>
                <v:fill o:detectmouseclick="t" on="false"/>
                <v:stroke color="#00b050" weight="19080" joinstyle="miter" endcap="flat"/>
                <w10:wrap type="none"/>
              </v:shape>
            </w:pict>
          </mc:Fallback>
        </mc:AlternateContent>
      </w:r>
    </w:p>
    <w:p>
      <w:pPr>
        <w:pStyle w:val="Normal"/>
        <w:spacing w:lineRule="auto" w:line="257" w:before="0" w:after="160"/>
        <w:rPr>
          <w:rFonts w:ascii="Arial" w:hAnsi="Arial" w:eastAsia="Calibri" w:cs="Arial"/>
          <w:i/>
          <w:iCs/>
          <w:kern w:val="2"/>
          <w:sz w:val="22"/>
          <w:szCs w:val="22"/>
          <w:lang w:eastAsia="en-US"/>
        </w:rPr>
      </w:pPr>
      <w:r>
        <w:rPr>
          <w:rFonts w:eastAsia="Calibri" w:cs="Arial" w:ascii="Arial" w:hAnsi="Arial"/>
          <w:i/>
          <w:iCs/>
          <w:kern w:val="2"/>
          <w:sz w:val="22"/>
          <w:szCs w:val="22"/>
          <w:lang w:eastAsia="en-US"/>
        </w:rPr>
      </w:r>
    </w:p>
    <w:p>
      <w:pPr>
        <w:pStyle w:val="Normal"/>
        <w:spacing w:lineRule="auto" w:line="257" w:before="0" w:after="160"/>
        <w:rPr>
          <w:rFonts w:ascii="Arial" w:hAnsi="Arial" w:eastAsia="Calibri" w:cs="Arial"/>
          <w:i/>
          <w:iCs/>
          <w:kern w:val="2"/>
          <w:sz w:val="22"/>
          <w:szCs w:val="22"/>
          <w:lang w:eastAsia="en-US"/>
        </w:rPr>
      </w:pPr>
      <w:r>
        <w:rPr>
          <w:rFonts w:eastAsia="Calibri" w:cs="Arial" w:ascii="Arial" w:hAnsi="Arial"/>
          <w:i/>
          <w:iCs/>
          <w:kern w:val="2"/>
          <w:sz w:val="22"/>
          <w:szCs w:val="22"/>
          <w:lang w:eastAsia="en-US"/>
        </w:rPr>
      </w:r>
    </w:p>
    <w:p>
      <w:pPr>
        <w:pStyle w:val="Normal"/>
        <w:spacing w:lineRule="auto" w:line="257" w:before="0" w:after="160"/>
        <w:rPr>
          <w:rFonts w:ascii="Arial" w:hAnsi="Arial" w:eastAsia="Calibri" w:cs="Arial"/>
          <w:i/>
          <w:iCs/>
          <w:kern w:val="2"/>
          <w:sz w:val="22"/>
          <w:szCs w:val="22"/>
          <w:lang w:eastAsia="en-US"/>
        </w:rPr>
      </w:pPr>
      <w:r>
        <w:rPr>
          <w:rFonts w:eastAsia="Calibri" w:cs="Arial" w:ascii="Arial" w:hAnsi="Arial"/>
          <w:i/>
          <w:iCs/>
          <w:kern w:val="2"/>
          <w:sz w:val="22"/>
          <w:szCs w:val="22"/>
          <w:lang w:eastAsia="en-US"/>
        </w:rPr>
      </w:r>
    </w:p>
    <w:p>
      <w:pPr>
        <w:pStyle w:val="Normal"/>
        <w:spacing w:lineRule="auto" w:line="257" w:before="0" w:after="160"/>
        <w:rPr>
          <w:rFonts w:ascii="Arial" w:hAnsi="Arial" w:eastAsia="Calibri" w:cs="Arial"/>
          <w:b/>
          <w:bCs/>
          <w:i/>
          <w:iCs/>
          <w:kern w:val="2"/>
          <w:sz w:val="22"/>
          <w:szCs w:val="22"/>
          <w:lang w:eastAsia="en-US"/>
        </w:rPr>
      </w:pPr>
      <w:r>
        <w:rPr>
          <w:rFonts w:eastAsia="Calibri" w:cs="Arial" w:ascii="Arial" w:hAnsi="Arial"/>
          <w:b/>
          <w:bCs/>
          <w:i/>
          <w:iCs/>
          <w:kern w:val="2"/>
          <w:sz w:val="22"/>
          <w:szCs w:val="22"/>
          <w:lang w:eastAsia="en-US"/>
        </w:rPr>
      </w:r>
    </w:p>
    <w:p>
      <w:pPr>
        <w:pStyle w:val="Normal"/>
        <w:spacing w:lineRule="auto" w:line="257" w:before="0" w:after="160"/>
        <w:rPr>
          <w:rFonts w:ascii="Arial" w:hAnsi="Arial" w:eastAsia="Calibri" w:cs="Arial"/>
          <w:b/>
          <w:bCs/>
          <w:i/>
          <w:iCs/>
          <w:kern w:val="2"/>
          <w:sz w:val="22"/>
          <w:szCs w:val="22"/>
          <w:lang w:val="en-US" w:eastAsia="en-US"/>
        </w:rPr>
      </w:pPr>
      <w:r>
        <w:rPr>
          <w:rFonts w:eastAsia="Calibri" w:cs="Arial" w:ascii="Arial" w:hAnsi="Arial"/>
          <w:b/>
          <w:bCs/>
          <w:i/>
          <w:iCs/>
          <w:kern w:val="2"/>
          <w:sz w:val="22"/>
          <w:szCs w:val="22"/>
          <w:lang w:val="en-US" w:eastAsia="en-US"/>
        </w:rPr>
        <mc:AlternateContent>
          <mc:Choice Requires="wps">
            <w:drawing>
              <wp:anchor distT="0" distB="0" distL="114935" distR="114935" simplePos="0" relativeHeight="29" behindDoc="0" locked="0" layoutInCell="1" allowOverlap="1">
                <wp:simplePos x="0" y="0"/>
                <wp:positionH relativeFrom="column">
                  <wp:posOffset>1676400</wp:posOffset>
                </wp:positionH>
                <wp:positionV relativeFrom="paragraph">
                  <wp:posOffset>122555</wp:posOffset>
                </wp:positionV>
                <wp:extent cx="4210050" cy="621030"/>
                <wp:effectExtent l="14605" t="11430" r="12065" b="12065"/>
                <wp:wrapNone/>
                <wp:docPr id="13" name="Oblačić: strelica ulijevo 2"/>
                <a:graphic xmlns:a="http://schemas.openxmlformats.org/drawingml/2006/main">
                  <a:graphicData uri="http://schemas.microsoft.com/office/word/2010/wordprocessingShape">
                    <wps:wsp>
                      <wps:cNvSpPr/>
                      <wps:spPr>
                        <a:xfrm>
                          <a:off x="0" y="0"/>
                          <a:ext cx="4210200" cy="621000"/>
                        </a:xfrm>
                        <a:prstGeom prst="leftArrowCallout">
                          <a:avLst>
                            <a:gd name="adj1" fmla="val 25002"/>
                            <a:gd name="adj2" fmla="val 25000"/>
                            <a:gd name="adj3" fmla="val 19209"/>
                            <a:gd name="adj4" fmla="val 91754"/>
                          </a:avLst>
                        </a:prstGeom>
                        <a:noFill/>
                        <a:ln w="22320">
                          <a:solidFill>
                            <a:srgbClr val="00B050"/>
                          </a:solidFill>
                          <a:miter/>
                        </a:ln>
                      </wps:spPr>
                      <wps:style>
                        <a:lnRef idx="0"/>
                        <a:fillRef idx="0"/>
                        <a:effectRef idx="0"/>
                        <a:fontRef idx="minor"/>
                      </wps:style>
                      <wps:txbx>
                        <w:txbxContent>
                          <w:p>
                            <w:pPr>
                              <w:overflowPunct w:val="false"/>
                              <w:bidi w:val="0"/>
                              <w:jc w:val="center"/>
                              <w:rPr/>
                            </w:pPr>
                            <w:r>
                              <w:rPr>
                                <w:rFonts w:ascii="Arial" w:hAnsi="Arial" w:eastAsia="Times New Roman" w:cs="Arial"/>
                                <w:b/>
                                <w:bCs/>
                                <w:i/>
                                <w:iCs/>
                                <w:color w:val="000000"/>
                                <w:kern w:val="2"/>
                                <w:sz w:val="24"/>
                                <w:szCs w:val="24"/>
                                <w:u w:val="single"/>
                                <w:lang w:val="hr-HR" w:bidi="ar-SA"/>
                              </w:rPr>
                              <w:t>Ukupno</w:t>
                            </w:r>
                            <w:r>
                              <w:rPr>
                                <w:rFonts w:ascii="Arial" w:hAnsi="Arial" w:eastAsia="Times New Roman" w:cs="Arial"/>
                                <w:b/>
                                <w:bCs/>
                                <w:i/>
                                <w:iCs/>
                                <w:color w:val="000000"/>
                                <w:kern w:val="2"/>
                                <w:sz w:val="24"/>
                                <w:szCs w:val="24"/>
                                <w:lang w:val="hr-HR" w:bidi="ar-SA"/>
                              </w:rPr>
                              <w:t xml:space="preserve"> mjesečno povećanje računa od 6,09 eura (s PDV-om). </w:t>
                            </w:r>
                          </w:p>
                        </w:txbxContent>
                      </wps:txbx>
                      <wps:bodyPr anchor="ctr">
                        <a:noAutofit/>
                      </wps:bodyPr>
                    </wps:wsp>
                  </a:graphicData>
                </a:graphic>
              </wp:anchor>
            </w:drawing>
          </mc:Choice>
          <mc:Fallback>
            <w:pict>
              <v:shape id="shape_0" stroked="t" o:allowincell="f" style="position:absolute;margin-left:132pt;margin-top:9.65pt;width:331.45pt;height:48.85pt;mso-wrap-style:square;v-text-anchor:middle" type="_x0000_t77">
                <v:textbox>
                  <w:txbxContent>
                    <w:p>
                      <w:pPr>
                        <w:overflowPunct w:val="false"/>
                        <w:bidi w:val="0"/>
                        <w:jc w:val="center"/>
                        <w:rPr/>
                      </w:pPr>
                      <w:r>
                        <w:rPr>
                          <w:rFonts w:ascii="Arial" w:hAnsi="Arial" w:eastAsia="Times New Roman" w:cs="Arial"/>
                          <w:b/>
                          <w:bCs/>
                          <w:i/>
                          <w:iCs/>
                          <w:color w:val="000000"/>
                          <w:kern w:val="2"/>
                          <w:sz w:val="24"/>
                          <w:szCs w:val="24"/>
                          <w:u w:val="single"/>
                          <w:lang w:val="hr-HR" w:bidi="ar-SA"/>
                        </w:rPr>
                        <w:t>Ukupno</w:t>
                      </w:r>
                      <w:r>
                        <w:rPr>
                          <w:rFonts w:ascii="Arial" w:hAnsi="Arial" w:eastAsia="Times New Roman" w:cs="Arial"/>
                          <w:b/>
                          <w:bCs/>
                          <w:i/>
                          <w:iCs/>
                          <w:color w:val="000000"/>
                          <w:kern w:val="2"/>
                          <w:sz w:val="24"/>
                          <w:szCs w:val="24"/>
                          <w:lang w:val="hr-HR" w:bidi="ar-SA"/>
                        </w:rPr>
                        <w:t xml:space="preserve"> mjesečno povećanje računa od 6,09 eura (s PDV-om). </w:t>
                      </w:r>
                    </w:p>
                  </w:txbxContent>
                </v:textbox>
                <v:fill o:detectmouseclick="t" on="false"/>
                <v:stroke color="#00b050" weight="22320" joinstyle="miter" endcap="flat"/>
                <w10:wrap type="none"/>
              </v:shape>
            </w:pict>
          </mc:Fallback>
        </mc:AlternateContent>
      </w:r>
    </w:p>
    <w:p>
      <w:pPr>
        <w:pStyle w:val="Normal"/>
        <w:spacing w:lineRule="auto" w:line="257" w:before="0" w:after="160"/>
        <w:rPr/>
      </w:pPr>
      <w:r>
        <mc:AlternateContent>
          <mc:Choice Requires="wps">
            <w:drawing>
              <wp:anchor distT="0" distB="0" distL="114935" distR="114935" simplePos="0" relativeHeight="28" behindDoc="0" locked="0" layoutInCell="1" allowOverlap="1">
                <wp:simplePos x="0" y="0"/>
                <wp:positionH relativeFrom="column">
                  <wp:posOffset>517525</wp:posOffset>
                </wp:positionH>
                <wp:positionV relativeFrom="paragraph">
                  <wp:posOffset>101600</wp:posOffset>
                </wp:positionV>
                <wp:extent cx="238760" cy="1270"/>
                <wp:effectExtent l="635" t="37465" r="0" b="38100"/>
                <wp:wrapNone/>
                <wp:docPr id="14" name="Ravni poveznik sa strelicom 1"/>
                <a:graphic xmlns:a="http://schemas.openxmlformats.org/drawingml/2006/main">
                  <a:graphicData uri="http://schemas.microsoft.com/office/word/2010/wordprocessingShape">
                    <wps:wsp>
                      <wps:cNvCnPr/>
                      <wps:spPr>
                        <a:xfrm>
                          <a:off x="0" y="0"/>
                          <a:ext cx="239040" cy="1800"/>
                        </a:xfrm>
                        <a:prstGeom prst="straightConnector1">
                          <a:avLst/>
                        </a:prstGeom>
                        <a:ln w="6480">
                          <a:solidFill>
                            <a:srgbClr val="4472C4"/>
                          </a:solidFill>
                          <a:miter/>
                          <a:tailEnd len="med" type="triangle" w="med"/>
                        </a:ln>
                      </wps:spPr>
                      <wps:bodyPr/>
                    </wps:wsp>
                  </a:graphicData>
                </a:graphic>
              </wp:anchor>
            </w:drawing>
          </mc:Choice>
          <mc:Fallback>
            <w:pict>
              <v:shape id="shape_0" stroked="t" o:allowincell="f" style="position:absolute;margin-left:40.75pt;margin-top:8pt;width:18.75pt;height:0.1pt" type="_x0000_t32">
                <v:stroke color="#4472c4" weight="6480" endarrow="block" endarrowwidth="medium" endarrowlength="medium" joinstyle="miter" endcap="flat"/>
                <v:fill o:detectmouseclick="t" on="false"/>
                <w10:wrap type="none"/>
              </v:shape>
            </w:pict>
          </mc:Fallback>
        </mc:AlternateContent>
      </w:r>
      <w:r>
        <w:rPr>
          <w:rFonts w:eastAsia="Calibri" w:cs="Arial" w:ascii="Arial" w:hAnsi="Arial"/>
          <w:b/>
          <w:bCs/>
          <w:i/>
          <w:iCs/>
          <w:kern w:val="2"/>
          <w:sz w:val="22"/>
          <w:szCs w:val="22"/>
          <w:lang w:eastAsia="en-US"/>
        </w:rPr>
        <w:t xml:space="preserve">13,27€          18,66 €       </w:t>
      </w:r>
    </w:p>
    <w:p>
      <w:pPr>
        <w:pStyle w:val="Normal"/>
        <w:spacing w:lineRule="auto" w:line="257" w:before="0" w:after="160"/>
        <w:rPr>
          <w:rFonts w:ascii="Arial" w:hAnsi="Arial" w:eastAsia="Calibri" w:cs="Arial"/>
          <w:b/>
          <w:bCs/>
          <w:i/>
          <w:iCs/>
          <w:kern w:val="2"/>
          <w:sz w:val="22"/>
          <w:szCs w:val="22"/>
          <w:lang w:eastAsia="en-US"/>
        </w:rPr>
      </w:pPr>
      <w:r>
        <mc:AlternateContent>
          <mc:Choice Requires="wps">
            <w:drawing>
              <wp:anchor distT="0" distB="0" distL="114935" distR="114935" simplePos="0" relativeHeight="31" behindDoc="0" locked="0" layoutInCell="1" allowOverlap="1">
                <wp:simplePos x="0" y="0"/>
                <wp:positionH relativeFrom="column">
                  <wp:posOffset>1386205</wp:posOffset>
                </wp:positionH>
                <wp:positionV relativeFrom="paragraph">
                  <wp:posOffset>7620</wp:posOffset>
                </wp:positionV>
                <wp:extent cx="619125" cy="857885"/>
                <wp:effectExtent l="33655" t="3175" r="0" b="0"/>
                <wp:wrapNone/>
                <wp:docPr id="15" name="Poveznik: zakrivljeno 8"/>
                <a:graphic xmlns:a="http://schemas.openxmlformats.org/drawingml/2006/main">
                  <a:graphicData uri="http://schemas.microsoft.com/office/word/2010/wordprocessingShape">
                    <wps:wsp>
                      <wps:cNvCnPr/>
                      <wps:spPr>
                        <a:xfrm flipH="1">
                          <a:off x="0" y="0"/>
                          <a:ext cx="619200" cy="858240"/>
                        </a:xfrm>
                        <a:prstGeom prst="straightConnector1">
                          <a:avLst/>
                        </a:prstGeom>
                        <a:ln w="6480">
                          <a:solidFill>
                            <a:srgbClr val="4472C4"/>
                          </a:solidFill>
                          <a:miter/>
                          <a:tailEnd len="med" type="triangle" w="med"/>
                        </a:ln>
                      </wps:spPr>
                      <wps:bodyPr/>
                    </wps:wsp>
                  </a:graphicData>
                </a:graphic>
              </wp:anchor>
            </w:drawing>
          </mc:Choice>
          <mc:Fallback>
            <w:pict>
              <v:shape id="shape_0" stroked="t" o:allowincell="f" style="position:absolute;margin-left:109.15pt;margin-top:0.6pt;width:48.65pt;height:67.55pt;flip:x" type="_x0000_t32">
                <v:stroke color="#4472c4" weight="6480" endarrow="block" endarrowwidth="medium" endarrowlength="medium" joinstyle="miter" endcap="flat"/>
                <v:fill o:detectmouseclick="t" on="false"/>
                <w10:wrap type="none"/>
              </v:shape>
            </w:pict>
          </mc:Fallback>
        </mc:AlternateContent>
      </w:r>
      <w:r>
        <w:rPr>
          <w:rFonts w:eastAsia="Calibri" w:cs="Arial" w:ascii="Arial" w:hAnsi="Arial"/>
          <w:b/>
          <w:bCs/>
          <w:i/>
          <w:iCs/>
          <w:kern w:val="2"/>
          <w:sz w:val="22"/>
          <w:szCs w:val="22"/>
          <w:lang w:eastAsia="en-US"/>
        </w:rPr>
        <w:t xml:space="preserve">  </w:t>
      </w:r>
      <w:r>
        <w:rPr>
          <w:rFonts w:eastAsia="Calibri" w:cs="Arial" w:ascii="Arial" w:hAnsi="Arial"/>
          <w:b/>
          <w:bCs/>
          <w:i/>
          <w:iCs/>
          <w:kern w:val="2"/>
          <w:sz w:val="22"/>
          <w:szCs w:val="22"/>
          <w:lang w:eastAsia="en-US"/>
        </w:rPr>
        <w:t>(bez PDV-a)</w:t>
      </w:r>
    </w:p>
    <w:p>
      <w:pPr>
        <w:pStyle w:val="Normal"/>
        <w:spacing w:lineRule="auto" w:line="257" w:before="0" w:after="160"/>
        <w:rPr>
          <w:rFonts w:ascii="Calibri" w:hAnsi="Calibri" w:eastAsia="Calibri" w:cs="Calibri"/>
          <w:b/>
          <w:bCs/>
          <w:i/>
          <w:iCs/>
          <w:kern w:val="2"/>
          <w:sz w:val="22"/>
          <w:szCs w:val="22"/>
          <w:lang w:eastAsia="en-US"/>
        </w:rPr>
      </w:pPr>
      <w:r>
        <w:rPr>
          <w:rFonts w:eastAsia="Calibri" w:cs="Calibri" w:ascii="Calibri" w:hAnsi="Calibri"/>
          <w:b/>
          <w:bCs/>
          <w:i/>
          <w:iCs/>
          <w:kern w:val="2"/>
          <w:sz w:val="22"/>
          <w:szCs w:val="22"/>
          <w:lang w:eastAsia="en-US"/>
        </w:rPr>
      </w:r>
    </w:p>
    <w:p>
      <w:pPr>
        <w:pStyle w:val="Normal"/>
        <w:tabs>
          <w:tab w:val="clear" w:pos="708"/>
          <w:tab w:val="left" w:pos="1110" w:leader="none"/>
        </w:tabs>
        <w:spacing w:lineRule="auto" w:line="257" w:before="0" w:after="160"/>
        <w:rPr>
          <w:rFonts w:ascii="Calibri" w:hAnsi="Calibri" w:eastAsia="Calibri" w:cs="Calibri"/>
          <w:kern w:val="2"/>
          <w:sz w:val="22"/>
          <w:szCs w:val="22"/>
          <w:lang w:eastAsia="en-US"/>
        </w:rPr>
      </w:pPr>
      <w:r>
        <w:rPr>
          <w:rFonts w:eastAsia="Calibri" w:cs="Calibri" w:ascii="Calibri" w:hAnsi="Calibri"/>
          <w:kern w:val="2"/>
          <w:sz w:val="22"/>
          <w:szCs w:val="22"/>
          <w:lang w:eastAsia="en-US"/>
        </w:rPr>
      </w:r>
    </w:p>
    <w:p>
      <w:pPr>
        <w:pStyle w:val="Normal"/>
        <w:tabs>
          <w:tab w:val="clear" w:pos="708"/>
          <w:tab w:val="left" w:pos="1110" w:leader="none"/>
        </w:tabs>
        <w:spacing w:lineRule="auto" w:line="257" w:before="0" w:after="160"/>
        <w:rPr/>
      </w:pPr>
      <w:r>
        <w:rPr>
          <w:rFonts w:eastAsia="Calibri" w:cs="Arial" w:ascii="Arial" w:hAnsi="Arial"/>
          <w:b/>
          <w:bCs/>
          <w:i/>
          <w:iCs/>
          <w:kern w:val="2"/>
          <w:sz w:val="22"/>
          <w:szCs w:val="22"/>
          <w:u w:val="single"/>
          <w:lang w:eastAsia="en-US"/>
        </w:rPr>
        <w:t>Ukupno mjesečno povećanje troška za nekućanstva zbog povećanja fiksnog dijela iznosi 6,09 eura.</w:t>
      </w:r>
    </w:p>
    <w:p>
      <w:pPr>
        <w:pStyle w:val="BodyText"/>
        <w:tabs>
          <w:tab w:val="clear" w:pos="708"/>
          <w:tab w:val="left" w:pos="3810" w:leader="none"/>
        </w:tabs>
        <w:rPr/>
      </w:pPr>
      <w:r>
        <w:rPr>
          <w:i/>
          <w:iCs/>
          <w:szCs w:val="26"/>
        </w:rPr>
        <w:t xml:space="preserve">Praktičnim prikazom cijene usluge odvoza komunalnog otpada za sva nekućanstva, </w:t>
      </w:r>
      <w:r>
        <w:rPr>
          <w:i/>
          <w:iCs/>
        </w:rPr>
        <w:t>konkretno pokazuju da će promjena obračuna iz postojećeg obračuna u novi proći uz dodatno mjesečno opterećenja za nekućanstva u prosjeku od 6 eura mjesečno.</w:t>
      </w:r>
    </w:p>
    <w:p>
      <w:pPr>
        <w:pStyle w:val="BodyText"/>
        <w:tabs>
          <w:tab w:val="clear" w:pos="708"/>
          <w:tab w:val="left" w:pos="3810" w:leader="none"/>
        </w:tabs>
        <w:rPr>
          <w:i/>
          <w:iCs/>
        </w:rPr>
      </w:pPr>
      <w:r>
        <w:rPr>
          <w:i/>
          <w:iCs/>
        </w:rPr>
      </w:r>
    </w:p>
    <w:p>
      <w:pPr>
        <w:pStyle w:val="BodyText"/>
        <w:tabs>
          <w:tab w:val="clear" w:pos="708"/>
          <w:tab w:val="left" w:pos="3810" w:leader="none"/>
        </w:tabs>
        <w:rPr>
          <w:i/>
          <w:iCs/>
        </w:rPr>
      </w:pPr>
      <w:r>
        <w:rPr>
          <w:i/>
          <w:iCs/>
        </w:rPr>
      </w:r>
    </w:p>
    <w:p>
      <w:pPr>
        <w:pStyle w:val="BodyText"/>
        <w:tabs>
          <w:tab w:val="clear" w:pos="708"/>
          <w:tab w:val="left" w:pos="3810" w:leader="none"/>
        </w:tabs>
        <w:rPr>
          <w:i/>
          <w:iCs/>
        </w:rPr>
      </w:pPr>
      <w:r>
        <w:rPr>
          <w:i/>
          <w:iCs/>
        </w:rPr>
      </w:r>
    </w:p>
    <w:p>
      <w:pPr>
        <w:pStyle w:val="BodyText"/>
        <w:tabs>
          <w:tab w:val="clear" w:pos="708"/>
          <w:tab w:val="left" w:pos="3810" w:leader="none"/>
        </w:tabs>
        <w:rPr>
          <w:i/>
          <w:iCs/>
        </w:rPr>
      </w:pPr>
      <w:r>
        <w:rPr>
          <w:i/>
          <w:iCs/>
        </w:rPr>
      </w:r>
    </w:p>
    <w:p>
      <w:pPr>
        <w:pStyle w:val="BodyText"/>
        <w:tabs>
          <w:tab w:val="clear" w:pos="708"/>
          <w:tab w:val="left" w:pos="3810" w:leader="none"/>
        </w:tabs>
        <w:rPr>
          <w:i/>
          <w:iCs/>
        </w:rPr>
      </w:pPr>
      <w:r>
        <w:rPr>
          <w:i/>
          <w:iCs/>
        </w:rPr>
      </w:r>
    </w:p>
    <w:p>
      <w:pPr>
        <w:pStyle w:val="BodyText"/>
        <w:tabs>
          <w:tab w:val="clear" w:pos="708"/>
          <w:tab w:val="left" w:pos="3810" w:leader="none"/>
        </w:tabs>
        <w:rPr/>
      </w:pPr>
      <w:r>
        <w:rPr>
          <w:i/>
          <w:iCs/>
        </w:rPr>
        <w:t xml:space="preserve">Uz sve navedeno treba naglasiti </w:t>
      </w:r>
      <w:r>
        <w:rPr>
          <w:i/>
          <w:iCs/>
          <w:u w:val="single"/>
        </w:rPr>
        <w:t xml:space="preserve">najnižu cijenu odvoza komunalnog otpada u RH, visoki nivo kvalitete usluge (i uz ovu novu cijenu) i svakodnevni odvoz komunalnog otpada, a sve to u svrhu održavanja higijensko-sanitarnih uvjeta života i rada radnih ljudi i građana gradova Splita i Solina, općina Dugopolje, Klis i Podstrana. </w:t>
      </w:r>
    </w:p>
    <w:p>
      <w:pPr>
        <w:pStyle w:val="BodyText"/>
        <w:tabs>
          <w:tab w:val="clear" w:pos="708"/>
          <w:tab w:val="left" w:pos="3810" w:leader="none"/>
        </w:tabs>
        <w:rPr>
          <w:i/>
          <w:iCs/>
          <w:u w:val="single"/>
        </w:rPr>
      </w:pPr>
      <w:r>
        <w:rPr>
          <w:i/>
          <w:iCs/>
          <w:u w:val="single"/>
        </w:rPr>
      </w:r>
    </w:p>
    <w:p>
      <w:pPr>
        <w:pStyle w:val="BodyText"/>
        <w:tabs>
          <w:tab w:val="clear" w:pos="708"/>
          <w:tab w:val="left" w:pos="3810" w:leader="none"/>
        </w:tabs>
        <w:rPr>
          <w:i/>
          <w:iCs/>
        </w:rPr>
      </w:pPr>
      <w:r>
        <w:rPr>
          <w:i/>
          <w:iCs/>
        </w:rPr>
        <w:t>Gore navedeno povećanje je rezultat enormnih troškova koji se nameću davatelju usluge, a sve u cilju provođenje odredbi Zakona o gospodarenju otpadom.</w:t>
      </w:r>
    </w:p>
    <w:p>
      <w:pPr>
        <w:pStyle w:val="BodyText"/>
        <w:tabs>
          <w:tab w:val="clear" w:pos="708"/>
          <w:tab w:val="left" w:pos="3810" w:leader="none"/>
        </w:tabs>
        <w:rPr>
          <w:i/>
          <w:iCs/>
        </w:rPr>
      </w:pPr>
      <w:r>
        <w:rPr>
          <w:i/>
          <w:iCs/>
        </w:rPr>
      </w:r>
    </w:p>
    <w:p>
      <w:pPr>
        <w:pStyle w:val="BodyText"/>
        <w:tabs>
          <w:tab w:val="clear" w:pos="708"/>
          <w:tab w:val="left" w:pos="3810" w:leader="none"/>
        </w:tabs>
        <w:rPr/>
      </w:pPr>
      <w:r>
        <w:rPr>
          <w:i/>
          <w:iCs/>
        </w:rPr>
        <w:t>Pružatelj usluge mora imati sva potreba vozila, potrebnu opremu i svu prateću infrastrukturu jer se komunalna djelatnost mora obavljati bez obzira o raspoloženju potrošača ili nekim drugim utjecajima.</w:t>
      </w:r>
    </w:p>
    <w:p>
      <w:pPr>
        <w:pStyle w:val="BodyText"/>
        <w:tabs>
          <w:tab w:val="clear" w:pos="708"/>
          <w:tab w:val="left" w:pos="3810" w:leader="none"/>
        </w:tabs>
        <w:rPr>
          <w:i/>
          <w:iCs/>
        </w:rPr>
      </w:pPr>
      <w:r>
        <w:rPr>
          <w:i/>
          <w:iCs/>
        </w:rPr>
      </w:r>
    </w:p>
    <w:p>
      <w:pPr>
        <w:pStyle w:val="BodyText"/>
        <w:tabs>
          <w:tab w:val="clear" w:pos="708"/>
          <w:tab w:val="left" w:pos="3810" w:leader="none"/>
        </w:tabs>
        <w:rPr>
          <w:i/>
          <w:iCs/>
        </w:rPr>
      </w:pPr>
      <w:r>
        <w:rPr>
          <w:i/>
          <w:iCs/>
        </w:rPr>
        <w:t xml:space="preserve">Ova specifičnost same djelatnosti je posebno izražena u turističkim mjestima poput naših gdje pružatelj usluge mora biti opremljen tijekom turističke sezone za prikupljanje svega otpada koji proizvede broj ljudi koji bude i nekoliko puta veći. </w:t>
      </w:r>
    </w:p>
    <w:p>
      <w:pPr>
        <w:pStyle w:val="BodyText"/>
        <w:tabs>
          <w:tab w:val="clear" w:pos="708"/>
          <w:tab w:val="left" w:pos="3810" w:leader="none"/>
        </w:tabs>
        <w:rPr>
          <w:i/>
          <w:iCs/>
        </w:rPr>
      </w:pPr>
      <w:r>
        <w:rPr>
          <w:i/>
          <w:iCs/>
        </w:rPr>
      </w:r>
    </w:p>
    <w:p>
      <w:pPr>
        <w:pStyle w:val="BodyText"/>
        <w:tabs>
          <w:tab w:val="clear" w:pos="708"/>
          <w:tab w:val="left" w:pos="3810" w:leader="none"/>
        </w:tabs>
        <w:rPr/>
      </w:pPr>
      <w:r>
        <w:rPr>
          <w:i/>
          <w:iCs/>
        </w:rPr>
        <w:t xml:space="preserve">Na ovaj način se osigurava kvalitetno financiranje sustava gospodarenja otpadom koji omogućava sprječavanje i smanjenje štetnog djelovanja otpada na ljudsko zdravlje i okoliš osiguravajući smanjenje količine otpada u nastanku, te uređenje gospodarenje otpadom bez uporabe rizičnih postupaka po ljudsko zdravlje i okoliš, uz korištenje vrijednih svojstava otpada, sve to na održiv i učinkovit način. </w:t>
      </w:r>
    </w:p>
    <w:p>
      <w:pPr>
        <w:pStyle w:val="BodyText"/>
        <w:rPr>
          <w:i/>
          <w:iCs/>
          <w:sz w:val="36"/>
        </w:rPr>
      </w:pPr>
      <w:r>
        <w:rPr>
          <w:i/>
          <w:iCs/>
          <w:sz w:val="36"/>
        </w:rPr>
      </w:r>
    </w:p>
    <w:p>
      <w:pPr>
        <w:pStyle w:val="BodyText"/>
        <w:rPr>
          <w:b/>
          <w:bCs/>
          <w:i/>
          <w:iCs/>
          <w:sz w:val="36"/>
        </w:rPr>
      </w:pPr>
      <w:r>
        <w:rPr>
          <w:b/>
          <w:bCs/>
          <w:i/>
          <w:iCs/>
          <w:sz w:val="36"/>
        </w:rPr>
      </w:r>
    </w:p>
    <w:p>
      <w:pPr>
        <w:pStyle w:val="BodyText"/>
        <w:rPr>
          <w:b/>
          <w:bCs/>
          <w:i/>
          <w:iCs/>
          <w:sz w:val="36"/>
        </w:rPr>
      </w:pPr>
      <w:r>
        <w:rPr>
          <w:b/>
          <w:bCs/>
          <w:i/>
          <w:iCs/>
          <w:sz w:val="36"/>
        </w:rPr>
      </w:r>
    </w:p>
    <w:p>
      <w:pPr>
        <w:pStyle w:val="BodyText"/>
        <w:rPr>
          <w:b/>
          <w:bCs/>
          <w:i/>
          <w:iCs/>
          <w:sz w:val="36"/>
        </w:rPr>
      </w:pPr>
      <w:r>
        <w:rPr>
          <w:b/>
          <w:bCs/>
          <w:i/>
          <w:iCs/>
          <w:sz w:val="36"/>
        </w:rPr>
      </w:r>
    </w:p>
    <w:p>
      <w:pPr>
        <w:pStyle w:val="BodyText"/>
        <w:rPr>
          <w:b/>
          <w:bCs/>
          <w:i/>
          <w:iCs/>
          <w:sz w:val="36"/>
        </w:rPr>
      </w:pPr>
      <w:r>
        <w:rPr>
          <w:b/>
          <w:bCs/>
          <w:i/>
          <w:iCs/>
          <w:sz w:val="36"/>
        </w:rPr>
      </w:r>
    </w:p>
    <w:p>
      <w:pPr>
        <w:pStyle w:val="BodyText"/>
        <w:rPr>
          <w:b/>
          <w:bCs/>
          <w:i/>
          <w:iCs/>
          <w:sz w:val="36"/>
        </w:rPr>
      </w:pPr>
      <w:r>
        <w:rPr>
          <w:b/>
          <w:bCs/>
          <w:i/>
          <w:iCs/>
          <w:sz w:val="36"/>
        </w:rPr>
      </w:r>
    </w:p>
    <w:p>
      <w:pPr>
        <w:pStyle w:val="BodyText"/>
        <w:rPr>
          <w:b/>
          <w:bCs/>
          <w:i/>
          <w:iCs/>
          <w:sz w:val="36"/>
        </w:rPr>
      </w:pPr>
      <w:r>
        <w:rPr>
          <w:b/>
          <w:bCs/>
          <w:i/>
          <w:iCs/>
          <w:sz w:val="36"/>
        </w:rPr>
      </w:r>
    </w:p>
    <w:p>
      <w:pPr>
        <w:pStyle w:val="BodyText"/>
        <w:rPr>
          <w:b/>
          <w:bCs/>
          <w:i/>
          <w:iCs/>
          <w:sz w:val="36"/>
        </w:rPr>
      </w:pPr>
      <w:r>
        <w:rPr>
          <w:b/>
          <w:bCs/>
          <w:i/>
          <w:iCs/>
          <w:sz w:val="36"/>
        </w:rPr>
      </w:r>
    </w:p>
    <w:p>
      <w:pPr>
        <w:pStyle w:val="BodyText"/>
        <w:rPr>
          <w:b/>
          <w:bCs/>
          <w:i/>
          <w:iCs/>
          <w:sz w:val="36"/>
        </w:rPr>
      </w:pPr>
      <w:r>
        <w:rPr>
          <w:b/>
          <w:bCs/>
          <w:i/>
          <w:iCs/>
          <w:sz w:val="36"/>
        </w:rPr>
      </w:r>
    </w:p>
    <w:p>
      <w:pPr>
        <w:pStyle w:val="BodyText"/>
        <w:rPr>
          <w:b/>
          <w:bCs/>
          <w:i/>
          <w:iCs/>
          <w:sz w:val="36"/>
        </w:rPr>
      </w:pPr>
      <w:r>
        <w:rPr>
          <w:b/>
          <w:bCs/>
          <w:i/>
          <w:iCs/>
          <w:sz w:val="36"/>
        </w:rPr>
      </w:r>
    </w:p>
    <w:p>
      <w:pPr>
        <w:pStyle w:val="BodyText"/>
        <w:rPr>
          <w:b/>
          <w:bCs/>
          <w:i/>
          <w:iCs/>
          <w:sz w:val="36"/>
        </w:rPr>
      </w:pPr>
      <w:r>
        <w:rPr>
          <w:b/>
          <w:bCs/>
          <w:i/>
          <w:iCs/>
          <w:sz w:val="36"/>
        </w:rPr>
      </w:r>
    </w:p>
    <w:p>
      <w:pPr>
        <w:pStyle w:val="BodyText"/>
        <w:rPr>
          <w:i/>
          <w:sz w:val="36"/>
          <w:szCs w:val="26"/>
        </w:rPr>
      </w:pPr>
      <w:r>
        <w:rPr>
          <w:i/>
          <w:sz w:val="36"/>
          <w:szCs w:val="26"/>
        </w:rPr>
      </w:r>
    </w:p>
    <w:sectPr>
      <w:footerReference w:type="default" r:id="rId7"/>
      <w:footerReference w:type="first" r:id="rId8"/>
      <w:type w:val="nextPage"/>
      <w:pgSz w:w="11906" w:h="16838"/>
      <w:pgMar w:left="1134" w:right="1134" w:gutter="0" w:header="0" w:top="1134" w:footer="709" w:bottom="1134"/>
      <w:pgNumType w:start="0"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ourier New">
    <w:charset w:val="00"/>
    <w:family w:val="modern"/>
    <w:pitch w:val="default"/>
  </w:font>
  <w:font w:name="Wingdings">
    <w:charset w:val="02"/>
    <w:family w:val="auto"/>
    <w:pitch w:val="variable"/>
  </w:font>
  <w:font w:name="Segoe UI">
    <w:charset w:val="00"/>
    <w:family w:val="swiss"/>
    <w:pitch w:val="variable"/>
  </w:font>
  <w:font w:name="Liberation Sans">
    <w:altName w:val="Arial"/>
    <w:charset w:val="01"/>
    <w:family w:val="swiss"/>
    <w:pitch w:val="variable"/>
  </w:font>
  <w:font w:name="Calibri">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8" w:space="1" w:color="339966"/>
      </w:pBdr>
      <w:ind w:end="-82"/>
      <w:rPr/>
    </w:pPr>
    <w:r>
      <w:rPr/>
    </w:r>
    <w:r>
      <mc:AlternateContent>
        <mc:Choice Requires="wps">
          <w:drawing>
            <wp:anchor distT="0" distB="0" distL="0" distR="0" simplePos="0" relativeHeight="27" behindDoc="0" locked="0" layoutInCell="0" allowOverlap="1">
              <wp:simplePos x="0" y="0"/>
              <wp:positionH relativeFrom="margin">
                <wp:align>right</wp:align>
              </wp:positionH>
              <wp:positionV relativeFrom="paragraph">
                <wp:posOffset>635</wp:posOffset>
              </wp:positionV>
              <wp:extent cx="243205" cy="175260"/>
              <wp:effectExtent l="0" t="0" r="0" b="0"/>
              <wp:wrapSquare wrapText="bothSides"/>
              <wp:docPr id="16" name="Frame1"/>
              <a:graphic xmlns:a="http://schemas.openxmlformats.org/drawingml/2006/main">
                <a:graphicData uri="http://schemas.microsoft.com/office/word/2010/wordprocessingShape">
                  <wps:wsp>
                    <wps:cNvSpPr txBox="1"/>
                    <wps:spPr>
                      <a:xfrm>
                        <a:off x="0" y="0"/>
                        <a:ext cx="243205" cy="175260"/>
                      </a:xfrm>
                      <a:prstGeom prst="rect"/>
                      <a:solidFill>
                        <a:srgbClr val="FFFFFF">
                          <a:alpha val="0"/>
                        </a:srgbClr>
                      </a:solidFill>
                    </wps:spPr>
                    <wps:txbx>
                      <w:txbxContent>
                        <w:p>
                          <w:pPr>
                            <w:pStyle w:val="Footer"/>
                            <w:ind w:end="360"/>
                            <w:rPr>
                              <w:rStyle w:val="PageNumber"/>
                              <w:color w:val="FFFFFF"/>
                            </w:rPr>
                          </w:pPr>
                          <w:r>
                            <w:rPr/>
                          </w:r>
                        </w:p>
                      </w:txbxContent>
                    </wps:txbx>
                    <wps:bodyPr anchor="t" lIns="0" tIns="0" rIns="0" bIns="0">
                      <a:noAutofit/>
                    </wps:bodyPr>
                  </wps:wsp>
                </a:graphicData>
              </a:graphic>
            </wp:anchor>
          </w:drawing>
        </mc:Choice>
        <mc:Fallback>
          <w:pict>
            <v:rect fillcolor="#FFFFFF" style="position:absolute;rotation:-0;width:19.15pt;height:13.8pt;mso-wrap-distance-left:0pt;mso-wrap-distance-right:0pt;mso-wrap-distance-top:0pt;mso-wrap-distance-bottom:0pt;margin-top:0.05pt;mso-position-vertical-relative:text;margin-left:462.75pt;mso-position-horizontal:right;mso-position-horizontal-relative:margin">
              <v:fill opacity="0f"/>
              <v:textbox inset="0in,0in,0in,0in">
                <w:txbxContent>
                  <w:p>
                    <w:pPr>
                      <w:pStyle w:val="Footer"/>
                      <w:ind w:end="360"/>
                      <w:rPr>
                        <w:rStyle w:val="PageNumber"/>
                        <w:color w:val="FFFFFF"/>
                      </w:rPr>
                    </w:pPr>
                    <w:r>
                      <w:rPr/>
                    </w:r>
                  </w:p>
                </w:txbxContent>
              </v:textbox>
              <w10:wrap type="square"/>
            </v:rect>
          </w:pict>
        </mc:Fallback>
      </mc:AlternateContent>
    </w:r>
  </w:p>
  <w:p>
    <w:pPr>
      <w:pStyle w:val="Footer"/>
      <w:rPr/>
    </w:pPr>
    <w:r>
      <w:rPr>
        <w:rFonts w:cs="Arial" w:ascii="Arial" w:hAnsi="Arial"/>
        <w:b/>
        <w:bCs/>
        <w:i/>
        <w:iCs/>
        <w:sz w:val="12"/>
        <w:szCs w:val="12"/>
      </w:rPr>
      <w:t xml:space="preserve">OBRAZLOŽENJE CIJENE OBVEZNE MINIMALNE JAVNE USLUGE                                                                                                                                                                                                                                         </w:t>
    </w:r>
    <w:r>
      <w:rPr>
        <w:rStyle w:val="PageNumber"/>
        <w:rFonts w:cs="Arial" w:ascii="Arial" w:hAnsi="Arial"/>
        <w:i/>
        <w:iCs/>
        <w:sz w:val="22"/>
      </w:rPr>
      <w:fldChar w:fldCharType="begin"/>
    </w:r>
    <w:r>
      <w:rPr>
        <w:rStyle w:val="PageNumber"/>
        <w:rFonts w:cs="Arial" w:ascii="Arial" w:hAnsi="Arial"/>
        <w:i/>
        <w:iCs/>
        <w:sz w:val="22"/>
      </w:rPr>
      <w:instrText xml:space="preserve"> PAGE </w:instrText>
    </w:r>
    <w:r>
      <w:rPr>
        <w:rStyle w:val="PageNumber"/>
        <w:rFonts w:cs="Arial" w:ascii="Arial" w:hAnsi="Arial"/>
        <w:i/>
        <w:iCs/>
        <w:sz w:val="22"/>
      </w:rPr>
      <w:fldChar w:fldCharType="separate"/>
    </w:r>
    <w:r>
      <w:rPr>
        <w:rStyle w:val="PageNumber"/>
        <w:rFonts w:cs="Arial" w:ascii="Arial" w:hAnsi="Arial"/>
        <w:i/>
        <w:iCs/>
        <w:sz w:val="22"/>
      </w:rPr>
      <w:t>17</w:t>
    </w:r>
    <w:r>
      <w:rPr>
        <w:rStyle w:val="PageNumber"/>
        <w:rFonts w:cs="Arial" w:ascii="Arial" w:hAnsi="Arial"/>
        <w:i/>
        <w:iCs/>
        <w:sz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pStyle w:val="Heading4"/>
      <w:suff w:val="nothing"/>
      <w:lvlText w:val=""/>
      <w:lvlJc w:val="start"/>
      <w:pPr>
        <w:tabs>
          <w:tab w:val="num" w:pos="0"/>
        </w:tabs>
        <w:ind w:start="0" w:hanging="0"/>
      </w:pPr>
    </w:lvl>
    <w:lvl w:ilvl="4">
      <w:start w:val="1"/>
      <w:numFmt w:val="none"/>
      <w:pStyle w:val="Heading5"/>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pStyle w:val="Heading7"/>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360" w:hanging="360"/>
      </w:pPr>
      <w:rPr>
        <w:rFonts w:ascii="Symbol" w:hAnsi="Symbol" w:cs="Symbol" w:hint="default"/>
      </w:rPr>
    </w:lvl>
  </w:abstractNum>
  <w:abstractNum w:abstractNumId="3">
    <w:lvl w:ilvl="0">
      <w:start w:val="1"/>
      <w:numFmt w:val="bullet"/>
      <w:lvlText w:val=""/>
      <w:lvlJc w:val="start"/>
      <w:pPr>
        <w:tabs>
          <w:tab w:val="num" w:pos="0"/>
        </w:tabs>
        <w:ind w:start="1438" w:hanging="360"/>
      </w:pPr>
      <w:rPr>
        <w:rFonts w:ascii="Wingdings" w:hAnsi="Wingdings" w:cs="Wingdings" w:hint="default"/>
        <w:b/>
        <w:i w:val="false"/>
        <w:color w:val="339966"/>
      </w:rPr>
    </w:lvl>
  </w:abstractNum>
  <w:abstractNum w:abstractNumId="4">
    <w:lvl w:ilvl="0">
      <w:start w:val="3"/>
      <w:numFmt w:val="bullet"/>
      <w:lvlText w:val=""/>
      <w:lvlJc w:val="start"/>
      <w:pPr>
        <w:tabs>
          <w:tab w:val="num" w:pos="0"/>
        </w:tabs>
        <w:ind w:start="720" w:hanging="360"/>
      </w:pPr>
      <w:rPr>
        <w:rFonts w:ascii="Symbol" w:hAnsi="Symbol" w:cs="Symbol" w:hint="default"/>
        <w:b w:val="false"/>
        <w:i w:val="false"/>
      </w:rPr>
    </w:lvl>
  </w:abstractNum>
  <w:abstractNum w:abstractNumId="5">
    <w:lvl w:ilvl="0">
      <w:start w:val="1"/>
      <w:numFmt w:val="bullet"/>
      <w:lvlText w:val=""/>
      <w:lvlJc w:val="start"/>
      <w:pPr>
        <w:tabs>
          <w:tab w:val="num" w:pos="720"/>
        </w:tabs>
        <w:ind w:start="720" w:hanging="360"/>
      </w:pPr>
      <w:rPr>
        <w:rFonts w:ascii="Wingdings" w:hAnsi="Wingdings" w:cs="Wingdings" w:hint="default"/>
        <w:b/>
        <w:i w:val="false"/>
        <w:color w:val="339966"/>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80"/>
  <w:defaultTabStop w:val="709"/>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hr-HR" w:bidi="ar-SA" w:eastAsia="zh-CN"/>
    </w:rPr>
  </w:style>
  <w:style w:type="paragraph" w:styleId="Heading1">
    <w:name w:val="heading 1"/>
    <w:basedOn w:val="Normal"/>
    <w:next w:val="Normal"/>
    <w:qFormat/>
    <w:pPr>
      <w:keepNext w:val="true"/>
      <w:numPr>
        <w:ilvl w:val="0"/>
        <w:numId w:val="1"/>
      </w:numPr>
      <w:outlineLvl w:val="0"/>
    </w:pPr>
    <w:rPr>
      <w:rFonts w:ascii="Arial" w:hAnsi="Arial" w:cs="Arial"/>
      <w:b/>
      <w:bCs/>
      <w:i/>
      <w:iCs/>
      <w:sz w:val="32"/>
    </w:rPr>
  </w:style>
  <w:style w:type="paragraph" w:styleId="Heading2">
    <w:name w:val="heading 2"/>
    <w:basedOn w:val="Normal"/>
    <w:next w:val="Normal"/>
    <w:qFormat/>
    <w:pPr>
      <w:keepNext w:val="true"/>
      <w:numPr>
        <w:ilvl w:val="1"/>
        <w:numId w:val="1"/>
      </w:numPr>
      <w:jc w:val="center"/>
      <w:outlineLvl w:val="1"/>
    </w:pPr>
    <w:rPr>
      <w:rFonts w:ascii="Arial" w:hAnsi="Arial" w:cs="Arial"/>
      <w:b/>
      <w:bCs/>
      <w:i/>
      <w:iCs/>
      <w:sz w:val="72"/>
    </w:rPr>
  </w:style>
  <w:style w:type="paragraph" w:styleId="Heading3">
    <w:name w:val="heading 3"/>
    <w:basedOn w:val="Normal"/>
    <w:next w:val="Normal"/>
    <w:qFormat/>
    <w:pPr>
      <w:keepNext w:val="true"/>
      <w:numPr>
        <w:ilvl w:val="2"/>
        <w:numId w:val="1"/>
      </w:numPr>
      <w:autoSpaceDE w:val="false"/>
      <w:jc w:val="center"/>
      <w:outlineLvl w:val="2"/>
    </w:pPr>
    <w:rPr>
      <w:rFonts w:ascii="Arial" w:hAnsi="Arial" w:cs="Arial"/>
      <w:b/>
      <w:bCs/>
      <w:i/>
      <w:iCs/>
      <w:color w:val="000000"/>
      <w:sz w:val="20"/>
      <w:szCs w:val="20"/>
    </w:rPr>
  </w:style>
  <w:style w:type="paragraph" w:styleId="Heading4">
    <w:name w:val="heading 4"/>
    <w:basedOn w:val="Normal"/>
    <w:next w:val="Normal"/>
    <w:qFormat/>
    <w:pPr>
      <w:keepNext w:val="true"/>
      <w:numPr>
        <w:ilvl w:val="3"/>
        <w:numId w:val="1"/>
      </w:numPr>
      <w:outlineLvl w:val="3"/>
    </w:pPr>
    <w:rPr>
      <w:rFonts w:ascii="Arial" w:hAnsi="Arial" w:cs="Arial"/>
      <w:b/>
      <w:bCs/>
      <w:i/>
      <w:iCs/>
      <w:sz w:val="36"/>
    </w:rPr>
  </w:style>
  <w:style w:type="paragraph" w:styleId="Heading5">
    <w:name w:val="heading 5"/>
    <w:basedOn w:val="Normal"/>
    <w:next w:val="Normal"/>
    <w:qFormat/>
    <w:pPr>
      <w:keepNext w:val="true"/>
      <w:numPr>
        <w:ilvl w:val="4"/>
        <w:numId w:val="1"/>
      </w:numPr>
      <w:tabs>
        <w:tab w:val="clear" w:pos="708"/>
        <w:tab w:val="left" w:pos="6615" w:leader="none"/>
      </w:tabs>
      <w:jc w:val="center"/>
      <w:outlineLvl w:val="4"/>
    </w:pPr>
    <w:rPr>
      <w:rFonts w:ascii="Arial" w:hAnsi="Arial" w:cs="Arial"/>
      <w:b/>
      <w:bCs/>
      <w:i/>
      <w:iCs/>
      <w:sz w:val="26"/>
    </w:rPr>
  </w:style>
  <w:style w:type="paragraph" w:styleId="Heading7">
    <w:name w:val="heading 7"/>
    <w:basedOn w:val="Normal"/>
    <w:next w:val="Normal"/>
    <w:qFormat/>
    <w:pPr>
      <w:keepNext w:val="true"/>
      <w:numPr>
        <w:ilvl w:val="6"/>
        <w:numId w:val="1"/>
      </w:numPr>
      <w:autoSpaceDE w:val="false"/>
      <w:jc w:val="center"/>
      <w:outlineLvl w:val="6"/>
    </w:pPr>
    <w:rPr>
      <w:rFonts w:ascii="Arial" w:hAnsi="Arial" w:cs="Arial"/>
      <w:b/>
      <w:bCs/>
      <w:color w:val="000000"/>
      <w:sz w:val="28"/>
      <w:szCs w:val="3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b w:val="false"/>
      <w:i/>
      <w:position w:val="0"/>
      <w:sz w:val="24"/>
      <w:vertAlign w:val="baseline"/>
    </w:rPr>
  </w:style>
  <w:style w:type="character" w:styleId="WW8Num4z0">
    <w:name w:val="WW8Num4z0"/>
    <w:qFormat/>
    <w:rPr>
      <w:b/>
      <w:i/>
    </w:rPr>
  </w:style>
  <w:style w:type="character" w:styleId="WW8Num4z1">
    <w:name w:val="WW8Num4z1"/>
    <w:qFormat/>
    <w:rPr>
      <w:rFonts w:ascii="Wingdings" w:hAnsi="Wingdings" w:cs="Times New Roman"/>
      <w:b/>
      <w:i w:val="false"/>
      <w:color w:val="339966"/>
    </w:rPr>
  </w:style>
  <w:style w:type="character" w:styleId="WW8Num5z0">
    <w:name w:val="WW8Num5z0"/>
    <w:qFormat/>
    <w:rPr>
      <w:rFonts w:ascii="Symbol" w:hAnsi="Symbol" w:eastAsia="Times New Roman" w:cs="Arial"/>
      <w:b/>
      <w:i w:val="false"/>
      <w:color w:val="339966"/>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style>
  <w:style w:type="character" w:styleId="WW8Num7z0">
    <w:name w:val="WW8Num7z0"/>
    <w:qFormat/>
    <w:rPr>
      <w:rFonts w:ascii="Wingdings" w:hAnsi="Wingdings" w:cs="Wingdings"/>
      <w:sz w:val="24"/>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Wingdings" w:hAnsi="Wingdings" w:cs="Times New Roman"/>
      <w:b/>
      <w:i w:val="false"/>
      <w:color w:val="339966"/>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style>
  <w:style w:type="character" w:styleId="WW8Num10z0">
    <w:name w:val="WW8Num10z0"/>
    <w:qFormat/>
    <w:rPr/>
  </w:style>
  <w:style w:type="character" w:styleId="WW8Num11z0">
    <w:name w:val="WW8Num11z0"/>
    <w:qFormat/>
    <w:rPr>
      <w:b/>
      <w:i w:val="false"/>
      <w:color w:val="003300"/>
    </w:rPr>
  </w:style>
  <w:style w:type="character" w:styleId="WW8Num12z0">
    <w:name w:val="WW8Num12z0"/>
    <w:qFormat/>
    <w:rPr>
      <w:rFonts w:ascii="Wingdings" w:hAnsi="Wingdings" w:cs="Times New Roman"/>
      <w:b/>
      <w:i w:val="false"/>
      <w:color w:val="339966"/>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rFonts w:ascii="Symbol" w:hAnsi="Symbol" w:eastAsia="Times New Roman" w:cs="Arial"/>
      <w:b w:val="false"/>
      <w:i w:val="false"/>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4z0">
    <w:name w:val="WW8Num14z0"/>
    <w:qFormat/>
    <w:rPr>
      <w:rFonts w:ascii="Wingdings" w:hAnsi="Wingdings" w:cs="Times New Roman"/>
      <w:b/>
      <w:i w:val="false"/>
      <w:color w:val="339966"/>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style>
  <w:style w:type="character" w:styleId="WW8Num17z0">
    <w:name w:val="WW8Num17z0"/>
    <w:qFormat/>
    <w:rPr>
      <w:rFonts w:ascii="Symbol" w:hAnsi="Symbol" w:eastAsia="Times New Roman" w:cs="Aria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8z0">
    <w:name w:val="WW8Num18z0"/>
    <w:qFormat/>
    <w:rPr/>
  </w:style>
  <w:style w:type="character" w:styleId="WW8Num19z0">
    <w:name w:val="WW8Num19z0"/>
    <w:qFormat/>
    <w:rPr/>
  </w:style>
  <w:style w:type="character" w:styleId="WW8Num20z0">
    <w:name w:val="WW8Num20z0"/>
    <w:qFormat/>
    <w:rPr>
      <w:rFonts w:ascii="Symbol" w:hAnsi="Symbol" w:eastAsia="Times New Roman" w:cs="Arial"/>
      <w:b/>
      <w:i w:val="false"/>
      <w:color w:val="339966"/>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WW8Num21z0">
    <w:name w:val="WW8Num21z0"/>
    <w:qFormat/>
    <w:rPr>
      <w:rFonts w:ascii="Wingdings" w:hAnsi="Wingdings" w:cs="Times New Roman"/>
      <w:b/>
      <w:i w:val="false"/>
      <w:color w:val="339966"/>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1z3">
    <w:name w:val="WW8Num21z3"/>
    <w:qFormat/>
    <w:rPr>
      <w:rFonts w:ascii="Symbol" w:hAnsi="Symbol" w:cs="Symbol"/>
    </w:rPr>
  </w:style>
  <w:style w:type="character" w:styleId="Zadanifontodlomka">
    <w:name w:val="Zadani font odlomka"/>
    <w:qFormat/>
    <w:rPr/>
  </w:style>
  <w:style w:type="character" w:styleId="PageNumber">
    <w:name w:val="page number"/>
    <w:basedOn w:val="Zadanifontodlomka"/>
    <w:rPr/>
  </w:style>
  <w:style w:type="character" w:styleId="TekstbaloniaChar">
    <w:name w:val="Tekst balončića Char"/>
    <w:qFormat/>
    <w:rPr>
      <w:rFonts w:ascii="Segoe UI" w:hAnsi="Segoe UI" w:cs="Segoe UI"/>
      <w:sz w:val="18"/>
      <w:szCs w:val="18"/>
    </w:rPr>
  </w:style>
  <w:style w:type="character" w:styleId="ZaglavljeChar">
    <w:name w:val="Zaglavlje Char"/>
    <w:qFormat/>
    <w:rPr>
      <w:sz w:val="24"/>
      <w:szCs w:val="24"/>
    </w:rPr>
  </w:style>
  <w:style w:type="character" w:styleId="TijelotekstaChar">
    <w:name w:val="Tijelo teksta Char"/>
    <w:qFormat/>
    <w:rPr>
      <w:rFonts w:ascii="Arial" w:hAnsi="Arial" w:cs="Arial"/>
      <w:sz w:val="26"/>
      <w:szCs w:val="24"/>
    </w:rPr>
  </w:style>
  <w:style w:type="character" w:styleId="PodnojeChar">
    <w:name w:val="Podnožje Char"/>
    <w:qFormat/>
    <w:rPr>
      <w:sz w:val="24"/>
      <w:szCs w:val="24"/>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rPr>
      <w:rFonts w:ascii="Arial" w:hAnsi="Arial" w:cs="Arial"/>
      <w:sz w:val="26"/>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Tijeloteksta2">
    <w:name w:val="Tijelo teksta 2"/>
    <w:basedOn w:val="Normal"/>
    <w:qFormat/>
    <w:pPr/>
    <w:rPr>
      <w:rFonts w:ascii="Arial" w:hAnsi="Arial" w:cs="Arial"/>
      <w:b/>
      <w:bCs/>
      <w:sz w:val="32"/>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536" w:leader="none"/>
        <w:tab w:val="right" w:pos="9072" w:leader="none"/>
      </w:tabs>
    </w:pPr>
    <w:rPr/>
  </w:style>
  <w:style w:type="paragraph" w:styleId="Footer">
    <w:name w:val="footer"/>
    <w:basedOn w:val="Normal"/>
    <w:pPr>
      <w:tabs>
        <w:tab w:val="clear" w:pos="708"/>
        <w:tab w:val="center" w:pos="4536" w:leader="none"/>
        <w:tab w:val="right" w:pos="9072" w:leader="none"/>
      </w:tabs>
    </w:pPr>
    <w:rPr/>
  </w:style>
  <w:style w:type="paragraph" w:styleId="Tijeloteksta3">
    <w:name w:val="Tijelo teksta 3"/>
    <w:basedOn w:val="Normal"/>
    <w:qFormat/>
    <w:pPr/>
    <w:rPr>
      <w:rFonts w:ascii="Arial" w:hAnsi="Arial" w:cs="Arial"/>
      <w:i/>
      <w:iCs/>
      <w:sz w:val="20"/>
    </w:rPr>
  </w:style>
  <w:style w:type="paragraph" w:styleId="t-98-2">
    <w:name w:val="t-98-2"/>
    <w:basedOn w:val="Normal"/>
    <w:qFormat/>
    <w:pPr>
      <w:spacing w:before="280" w:after="280"/>
    </w:pPr>
    <w:rPr/>
  </w:style>
  <w:style w:type="paragraph" w:styleId="tb-pn">
    <w:name w:val="tb-pn"/>
    <w:basedOn w:val="Normal"/>
    <w:qFormat/>
    <w:pPr>
      <w:spacing w:before="280" w:after="280"/>
    </w:pPr>
    <w:rPr/>
  </w:style>
  <w:style w:type="paragraph" w:styleId="BodyTextIndent">
    <w:name w:val="Body Text Indent"/>
    <w:basedOn w:val="Normal"/>
    <w:pPr>
      <w:spacing w:lineRule="atLeast" w:line="340"/>
      <w:ind w:hanging="0" w:start="720" w:end="0"/>
    </w:pPr>
    <w:rPr>
      <w:rFonts w:ascii="Arial" w:hAnsi="Arial" w:cs="Arial"/>
      <w:i/>
      <w:iCs/>
      <w:sz w:val="26"/>
    </w:rPr>
  </w:style>
  <w:style w:type="paragraph" w:styleId="Tekstbalonia">
    <w:name w:val="Tekst balončića"/>
    <w:basedOn w:val="Normal"/>
    <w:qFormat/>
    <w:pPr/>
    <w:rPr>
      <w:rFonts w:ascii="Segoe UI" w:hAnsi="Segoe UI" w:cs="Segoe UI"/>
      <w:sz w:val="18"/>
      <w:szCs w:val="18"/>
    </w:rPr>
  </w:style>
  <w:style w:type="paragraph" w:styleId="Odlomakpopisa">
    <w:name w:val="Odlomak popisa"/>
    <w:basedOn w:val="Normal"/>
    <w:qFormat/>
    <w:pPr>
      <w:ind w:hanging="0" w:start="708" w:end="0"/>
    </w:pPr>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emf"/><Relationship Id="rId4" Type="http://schemas.openxmlformats.org/officeDocument/2006/relationships/image" Target="media/image3.emf"/><Relationship Id="rId5" Type="http://schemas.openxmlformats.org/officeDocument/2006/relationships/image" Target="media/image4.emf"/><Relationship Id="rId6" Type="http://schemas.openxmlformats.org/officeDocument/2006/relationships/image" Target="media/image5.emf"/><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2026-08-11T10:54:00Z</dcterms:created>
  <dc:creator>Željka Plazonić</dc:creator>
  <dc:description/>
  <cp:keywords/>
  <dc:language>en-US</dc:language>
  <cp:lastModifiedBy>Branimir Bosančić</cp:lastModifiedBy>
  <cp:lastPrinted>2025-12-12T08:20:00Z</cp:lastPrinted>
  <dcterms:modified xsi:type="dcterms:W3CDTF">2026-08-11T10:54:00Z</dcterms:modified>
  <cp:revision>2</cp:revision>
  <dc:subject/>
  <dc:title>U prilogu Vam dostavljamo obrazloženje zahtjeva za korekciju cijene usluge prikupljanja, prijevoza i deponiranja kućn</dc:title>
</cp:coreProperties>
</file>