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08c57b0f1408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30592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DUGOPOLJE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6.116.306,33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7.595.607,54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5.479.954,11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7.909.967,73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314.360,19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1.262.840,74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30.158,55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1.070.692,24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2.972.880,24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2.942.721,69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3.120.660,22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393.485,63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173.909,01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2.946.751,21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310.330,67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Naziv obveznika: Općina Dugopolje</w:t>
      </w:r>
    </w:p>
    <w:p>
      <w:r>
        <w:t xml:space="preserve">Adresa: Trg Franje Tuđmana 1, 21 204 Dugopolje</w:t>
      </w:r>
    </w:p>
    <w:p>
      <w:r>
        <w:t xml:space="preserve">OIB: 57240842564</w:t>
      </w:r>
    </w:p>
    <w:p>
      <w:r>
        <w:t xml:space="preserve">Matični broj: 2569647</w:t>
      </w:r>
    </w:p>
    <w:p>
      <w:r>
        <w:t xml:space="preserve">Šifra djelatnosti: 8411</w:t>
      </w:r>
    </w:p>
    <w:p>
      <w:r>
        <w:t xml:space="preserve">Šifra Općine: 585</w:t>
      </w:r>
    </w:p>
    <w:p>
      <w:r>
        <w:t xml:space="preserve">Razdjel: 22</w:t>
      </w:r>
    </w:p>
    <w:p>
      <w:r>
        <w:t xml:space="preserve">Razdoblje: 01.01.2025.-31.12.2025.</w:t>
      </w:r>
    </w:p>
    <w:p>
      <w:r>
        <w:t xml:space="preserve">Zakonski zastupnik: Perica Bosančić, dipl.ing.el.</w:t>
      </w:r>
    </w:p>
    <w:p>
      <w:r>
        <w:t xml:space="preserve">Osoba za kontakt: Marija Čipčić, mag.oec.</w:t>
      </w:r>
    </w:p>
    <w:p>
      <w:r>
        <w:t xml:space="preserve">Telefon: 021 668 289</w:t>
      </w:r>
    </w:p>
    <w:p>
      <w:r>
        <w:t xml:space="preserve">Faks: 021 660 250</w:t>
      </w:r>
    </w:p>
    <w:p>
      <w:r>
        <w:t xml:space="preserve">Adresa e-pošte: marija.cipcic@dugopolje.hr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1.979.965,30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2.354.247,12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118,9</w:t>
            </w:r>
          </w:p>
        </w:tc>
      </w:tr>
    </w:tbl>
    <w:p>
      <w:pPr>
        <w:spacing w:before="0" w:after="0"/>
      </w:pPr>
    </w:p>
    <w:p>
      <w:r>
        <w:t xml:space="preserve">Prihodi od poreza su porasli za 18,90 % zbog većih poreza na dohodak i poreza na promet pićem.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1.014.195,69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1.677.063,37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165,4</w:t>
            </w:r>
          </w:p>
        </w:tc>
      </w:tr>
    </w:tbl>
    <w:p>
      <w:pPr>
        <w:spacing w:before="0" w:after="0"/>
      </w:pPr>
    </w:p>
    <w:p>
      <w:r>
        <w:t xml:space="preserve">Pomoći iz inozemstva i subjekata općeg proračuna su porasli za 65,40 % zbog prihoda od decentraliziranih funkcija koje dodjeljuje Vlada RH zatim značajnog povećanja prihoda iz EU sredstava zbog izgradnje vrtića, kao i sredstava za projetnu dokumentaciju za OŠ.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228.335,93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245.095,99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107,3</w:t>
            </w:r>
          </w:p>
        </w:tc>
      </w:tr>
    </w:tbl>
    <w:p>
      <w:pPr>
        <w:spacing w:before="0" w:after="0"/>
      </w:pPr>
    </w:p>
    <w:p>
      <w:r>
        <w:t xml:space="preserve">Prihodi od imovine su neznatno povećani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2.784.951,11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3.156.399,24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</w:tbl>
    <w:p>
      <w:pPr>
        <w:spacing w:before="0" w:after="0"/>
      </w:pPr>
    </w:p>
    <w:p>
      <w:r>
        <w:t xml:space="preserve">U porastu od 13,30 % najznačajnije je povećanje komunalnog doprinosa i komunalne naknade koja svojom veličinom najviše utječe na ovu skupinu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96.764,45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73.665,76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76,1</w:t>
            </w:r>
          </w:p>
        </w:tc>
      </w:tr>
    </w:tbl>
    <w:p>
      <w:pPr>
        <w:spacing w:before="0" w:after="0"/>
      </w:pPr>
    </w:p>
    <w:p>
      <w:r>
        <w:t xml:space="preserve">U odnosu na prethodnu godinu smanjeni su prihodi od najma jer je u 2024. godini bio jednokratni prihod od najma stadiona za koncert.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Kazne, upravne mjere i ostali prihodi (šifre 681+683)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12.093,85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89.136,06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737,0</w:t>
            </w:r>
          </w:p>
        </w:tc>
      </w:tr>
    </w:tbl>
    <w:p>
      <w:pPr>
        <w:spacing w:before="0" w:after="0"/>
      </w:pPr>
    </w:p>
    <w:p>
      <w:r>
        <w:t xml:space="preserve">Ostali nenamjenski prihodi su povećani za 637 % iako značajna postotna promjena ne radi se o značajnim prihodima na razini cjelokupnog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490.734,63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642.778,25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131,0</w:t>
            </w:r>
          </w:p>
        </w:tc>
      </w:tr>
    </w:tbl>
    <w:p>
      <w:pPr>
        <w:spacing w:before="0" w:after="0"/>
      </w:pPr>
    </w:p>
    <w:p>
      <w:r>
        <w:t xml:space="preserve">Rashodi za zaposlene su povećani jer je u drugoj polovici 2024. izvršena korekcija osnovice zaposlenika kao i dodatno zapošljavanje u 2025. godini što je ukupno djelovalo na povećanje rashoda za 31%.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1.575.001,25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1.947.817,74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123,7</w:t>
            </w:r>
          </w:p>
        </w:tc>
      </w:tr>
    </w:tbl>
    <w:p>
      <w:pPr>
        <w:spacing w:before="0" w:after="0"/>
      </w:pPr>
    </w:p>
    <w:p>
      <w:r>
        <w:t xml:space="preserve">Na povećanje materijalnih rashoda utjecala je sveopća inflacija svih troškova a posebno povećanje investicijskog održavanja općinske imovine koja je svojim udjelom najznačajnija u ovim troškovima.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235.070,41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1.543.010,92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656,4</w:t>
            </w:r>
          </w:p>
        </w:tc>
      </w:tr>
    </w:tbl>
    <w:p>
      <w:pPr>
        <w:spacing w:before="0" w:after="0"/>
      </w:pPr>
    </w:p>
    <w:p>
      <w:r>
        <w:t xml:space="preserve">Do ovoliko značajnog povećanja došlo je zbog podmirenja svih obveza na ime sudskih sporova i knjiženja svih zateznih kamata po istima.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trgovačkim društvima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313.878,96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199.836,49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63,7</w:t>
            </w:r>
          </w:p>
        </w:tc>
      </w:tr>
    </w:tbl>
    <w:p>
      <w:pPr>
        <w:spacing w:before="0" w:after="0"/>
      </w:pPr>
    </w:p>
    <w:p>
      <w:r>
        <w:t xml:space="preserve">Odnosi se na subveznice Promet Split.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1.269.939,71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1.464.661,43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115,3</w:t>
            </w:r>
          </w:p>
        </w:tc>
      </w:tr>
    </w:tbl>
    <w:p>
      <w:pPr>
        <w:spacing w:before="0" w:after="0"/>
      </w:pPr>
    </w:p>
    <w:p>
      <w:r>
        <w:t xml:space="preserve">Odnsoi se većinski na prijenose proračunskim korisnicima od kojih je najznačajniji Dječji vrtić te je zbog povećanja plaća i novog zapošljavanja i došlo do povećanja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443.609,39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552.160,87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124,5</w:t>
            </w:r>
          </w:p>
        </w:tc>
      </w:tr>
    </w:tbl>
    <w:p>
      <w:pPr>
        <w:spacing w:before="0" w:after="0"/>
      </w:pPr>
    </w:p>
    <w:p>
      <w:r>
        <w:t xml:space="preserve">Odnosi se na pomoći stanovnicima u vidu stipendija, jednokratnih novčanih pomoći i pomoći u bonovima za Uskrs i Božić.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1.151.719,76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1.559.702,03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135,4</w:t>
            </w:r>
          </w:p>
        </w:tc>
      </w:tr>
    </w:tbl>
    <w:p>
      <w:pPr>
        <w:spacing w:before="0" w:after="0"/>
      </w:pPr>
    </w:p>
    <w:p>
      <w:r>
        <w:t xml:space="preserve">Odnosi se većinski na donacije udrugama po provedenom javnom pozivu.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neproizvedene dugotrajne imovine (šifre 711+712)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1.251.252,53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29.372,17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2,3</w:t>
            </w:r>
          </w:p>
        </w:tc>
      </w:tr>
    </w:tbl>
    <w:p>
      <w:pPr>
        <w:spacing w:before="0" w:after="0"/>
      </w:pPr>
    </w:p>
    <w:p>
      <w:r>
        <w:t xml:space="preserve">U 2025. godini nije bilo novih prodaja građevinskog zemljišta te je zbog navedenog ovoliko smanjenje.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proizvedene dugotrajne imovine (šifre 721+722+723+724+725+726)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11.588,21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6,8</w:t>
            </w:r>
          </w:p>
        </w:tc>
      </w:tr>
    </w:tbl>
    <w:p>
      <w:pPr>
        <w:spacing w:before="0" w:after="0"/>
      </w:pPr>
    </w:p>
    <w:p>
      <w:r>
        <w:t xml:space="preserve">Odnosi se na prihode od prodaje grobnica po ugovorima iz prethodnih godina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neproizvedene dugotrajne imovine (šifre 411+412)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236.854,72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697.021,93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294,3</w:t>
            </w:r>
          </w:p>
        </w:tc>
      </w:tr>
    </w:tbl>
    <w:p>
      <w:pPr>
        <w:spacing w:before="0" w:after="0"/>
      </w:pPr>
    </w:p>
    <w:p>
      <w:r>
        <w:t xml:space="preserve">Do značajnog povećanja je došlo zbog povrata zemljišta na temelju sudskih presuda i sporazuma.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833.837,52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2.275.858,31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272,9</w:t>
            </w:r>
          </w:p>
        </w:tc>
      </w:tr>
    </w:tbl>
    <w:p>
      <w:pPr>
        <w:spacing w:before="0" w:after="0"/>
      </w:pPr>
    </w:p>
    <w:p>
      <w:r>
        <w:t xml:space="preserve">Povećanje se najvećim dijelom odnosi na izgradnju dječjeg vrtića (stari vrtić) koje je svojom veličinom najznačajniji kapitalni projekt u prošloj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3.120.660,22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kredit Ministarstva financija za otplatu dugovanja po presudama i uplate kredita HPB za izgradnju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393.485,63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173.909,01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44,2</w:t>
            </w:r>
          </w:p>
        </w:tc>
      </w:tr>
    </w:tbl>
    <w:p>
      <w:pPr>
        <w:spacing w:before="0" w:after="0"/>
      </w:pPr>
    </w:p>
    <w:p>
      <w:r>
        <w:t xml:space="preserve">Značajno je smanjen izdatak za otplatu zajmova jer je otplata novih zajmova započela u 3 kvartalu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310.330,67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Ukupan rezultat godine iznosi manjak od 310.330,67 koji će se u cijelosti pokriti viškom iz prethodnih godina.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 (šifre 011+012-019)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4.829.563,97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5.444.797,15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112,7</w:t>
            </w:r>
          </w:p>
        </w:tc>
      </w:tr>
    </w:tbl>
    <w:p>
      <w:pPr>
        <w:spacing w:before="0" w:after="0"/>
      </w:pPr>
    </w:p>
    <w:p>
      <w:r>
        <w:t xml:space="preserve">Do povećanja je došlo zbog knjiženja povrata građevinskog zemljišta po sudskim presudama i sporazumima.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1.786.072,42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2.053.485,90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115,0</w:t>
            </w:r>
          </w:p>
        </w:tc>
      </w:tr>
    </w:tbl>
    <w:p>
      <w:pPr>
        <w:spacing w:before="0" w:after="0"/>
      </w:pPr>
    </w:p>
    <w:p>
      <w:r>
        <w:t xml:space="preserve">Povećana su potraživanja koja se najvećim dijelom odnose na komunalnu naknadu.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(šifre 231 do 234 + 235 + 236 + 237 do 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1.018.162,41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774.471,71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76,1</w:t>
            </w:r>
          </w:p>
        </w:tc>
      </w:tr>
    </w:tbl>
    <w:p>
      <w:pPr>
        <w:spacing w:before="0" w:after="0"/>
      </w:pPr>
    </w:p>
    <w:p>
      <w:r>
        <w:t xml:space="preserve">Obveze rashoda poslovanja su smanjene za 23,90 p.p. najviše zbog smanjenja obveza za financijske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kredite i zajmove (šifre 26X1+26X2)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954.753,62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3.901.504,84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408,6</w:t>
            </w:r>
          </w:p>
        </w:tc>
      </w:tr>
    </w:tbl>
    <w:p>
      <w:pPr>
        <w:spacing w:before="0" w:after="0"/>
      </w:pPr>
    </w:p>
    <w:p>
      <w:r>
        <w:t xml:space="preserve">U 2025. godini je odobren novi beskamatni kredit Ministarstva Financija i kredit HPB za izgradnju dječjeg vrtića.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Opće javne usluge (šifre 011+012+013+014 do 018)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1.453.437,39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3.506.187,48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241,2</w:t>
            </w:r>
          </w:p>
        </w:tc>
      </w:tr>
    </w:tbl>
    <w:p>
      <w:pPr>
        <w:spacing w:before="0" w:after="0"/>
      </w:pPr>
    </w:p>
    <w:p>
      <w:r>
        <w:t xml:space="preserve">Do značajnog povećanja ovog troška po funkcijskoj klasifikaciji je došlo zbog knjiženja kamata i troškova sudskog postupka po sporovima.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Javni red i sigurnost (šifre 031 do 036)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307.486,44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415.868,12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135,2</w:t>
            </w:r>
          </w:p>
        </w:tc>
      </w:tr>
    </w:tbl>
    <w:p>
      <w:pPr>
        <w:spacing w:before="0" w:after="0"/>
      </w:pPr>
    </w:p>
    <w:p>
      <w:r>
        <w:t xml:space="preserve">Do povećanja je došlo zbog financiranja nabavke novog vozila DVD Dugopolje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Ekonomski poslovi (šifre 041+042+043+044+045+046+047+048+049)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329.135,18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278.857,40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84,7</w:t>
            </w:r>
          </w:p>
        </w:tc>
      </w:tr>
    </w:tbl>
    <w:p>
      <w:pPr>
        <w:spacing w:before="0" w:after="0"/>
      </w:pPr>
    </w:p>
    <w:p>
      <w:r>
        <w:t xml:space="preserve">Neznatno su smanjeni a odnose se na opće troškove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Zaštita okoliša (šifre 051 do 056)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418.230,17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277.498,23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66,4</w:t>
            </w:r>
          </w:p>
        </w:tc>
      </w:tr>
    </w:tbl>
    <w:p>
      <w:pPr>
        <w:spacing w:before="0" w:after="0"/>
      </w:pPr>
    </w:p>
    <w:p>
      <w:r>
        <w:t xml:space="preserve">Ovi troškovi smanjeni su za 33,60 p.p. jer je u 2024. bilo izvanrednih ulaganja koji su odstupali od prosjeka.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unapređenja stanovanja i zajednice (šifre 061 do 066)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1.012.628,79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1.784.766,97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176,3</w:t>
            </w:r>
          </w:p>
        </w:tc>
      </w:tr>
    </w:tbl>
    <w:p>
      <w:pPr>
        <w:spacing w:before="0" w:after="0"/>
      </w:pPr>
    </w:p>
    <w:p>
      <w:r>
        <w:t xml:space="preserve">Povećanje je značajno zbog ulaganja u odvodnju kroz aglomeraciju i sufinacniranje asfaltiranja prometnica nakon radova odvodnje i vodoopskrbe.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Rekreacija, kultura i religija (šifre 081 do 086)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926.681,30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1.087.549,13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117,4</w:t>
            </w:r>
          </w:p>
        </w:tc>
      </w:tr>
    </w:tbl>
    <w:p>
      <w:pPr>
        <w:spacing w:before="0" w:after="0"/>
      </w:pPr>
    </w:p>
    <w:p>
      <w:r>
        <w:t xml:space="preserve">Svi troškovi koji obuhvaćaju ovu klasifikaciju su povećani  zbog povećanja sredstava za udruge.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367.600,06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1.548.176,74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421,2</w:t>
            </w:r>
          </w:p>
        </w:tc>
      </w:tr>
    </w:tbl>
    <w:p>
      <w:pPr>
        <w:spacing w:before="0" w:after="0"/>
      </w:pPr>
    </w:p>
    <w:p>
      <w:r>
        <w:t xml:space="preserve">Ovako značajno povećanje je rezultat ulaganja u izgradnju dječjeg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Socijalna zaštita (šifre 101+102+103+104+105+106+107+108+109)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394.520,77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483.366,99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122,5</w:t>
            </w:r>
          </w:p>
        </w:tc>
      </w:tr>
    </w:tbl>
    <w:p>
      <w:pPr>
        <w:spacing w:before="0" w:after="0"/>
      </w:pPr>
    </w:p>
    <w:p>
      <w:r>
        <w:t xml:space="preserve">Povećanje zbog većih socijalnih naknada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5.182.930,66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Čine ga dospjele i nedospjele obveze od kojih je najznačajnija obveza za kredite koji nisu dospjeli.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674.291,62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iznosi 674.291,62 i odnosi se na tekuće obveze koje su u dospijeću.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Najznačajniji su prihodi iz NPOO za opemanje i nadogradnju dječjeg vrtića. Od ostalih fondova izdvojili bi Eurospski fond za regionalni razvoj za projekte BRICS i ADRIAMOVE. Već dugi niz godina provodi se projekt Zaželi koji se financira iz Europskog socijalnog fonda plus.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544f464dc4417b" /></Relationships>
</file>